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300"/>
        <w:spacing w:line="360" w:lineRule="auto"/>
        <w:rPr>
          <w:color w:val="000000"/>
          <w:sz w:val="60"/>
          <w:szCs w:val="60"/>
          <w:highlight w:val="none"/>
        </w:rPr>
        <w:outlineLvl w:val="9"/>
      </w:pPr>
      <w:r>
        <w:rPr>
          <w:color w:val="000000"/>
          <w:sz w:val="60"/>
          <w:szCs w:val="60"/>
          <w:highlight w:val="none"/>
        </w:rPr>
      </w:r>
      <w:r/>
    </w:p>
    <w:p>
      <w:pPr>
        <w:pStyle w:val="1107"/>
        <w:jc w:val="center"/>
        <w:rPr>
          <w:rFonts w:hint="eastAsia"/>
          <w:b/>
          <w:bCs/>
          <w:color w:val="000000"/>
          <w:sz w:val="56"/>
          <w:szCs w:val="56"/>
          <w:highlight w:val="none"/>
          <w:lang w:eastAsia="zh-CN"/>
        </w:rPr>
        <w:outlineLvl w:val="9"/>
      </w:pPr>
      <w:r>
        <w:rPr>
          <w:rFonts w:hint="eastAsia"/>
          <w:b/>
          <w:bCs/>
          <w:color w:val="000000"/>
          <w:sz w:val="56"/>
          <w:szCs w:val="56"/>
          <w:highlight w:val="none"/>
          <w:lang w:eastAsia="zh-CN"/>
        </w:rPr>
      </w:r>
      <w:r/>
    </w:p>
    <w:p>
      <w:pPr>
        <w:pStyle w:val="1107"/>
        <w:jc w:val="center"/>
        <w:rPr>
          <w:rFonts w:hint="eastAsia"/>
          <w:b/>
          <w:bCs/>
          <w:color w:val="000000"/>
          <w:sz w:val="56"/>
          <w:szCs w:val="56"/>
          <w:highlight w:val="none"/>
          <w:lang w:eastAsia="zh-CN"/>
        </w:rPr>
        <w:outlineLvl w:val="9"/>
      </w:pPr>
      <w:r>
        <w:rPr>
          <w:rFonts w:hint="eastAsia"/>
          <w:b/>
          <w:bCs/>
          <w:color w:val="000000"/>
          <w:sz w:val="56"/>
          <w:szCs w:val="56"/>
          <w:highlight w:val="none"/>
          <w:lang w:eastAsia="zh-CN"/>
        </w:rPr>
        <w:t xml:space="preserve">2026年滨开区新材料产业园智慧园区监管平台基础设施维保项目</w:t>
      </w:r>
      <w:r>
        <w:rPr>
          <w:rFonts w:hint="eastAsia"/>
          <w:b/>
          <w:bCs/>
          <w:color w:val="000000"/>
          <w:sz w:val="56"/>
          <w:szCs w:val="56"/>
          <w:highlight w:val="none"/>
          <w:lang w:eastAsia="zh-CN"/>
        </w:rPr>
      </w:r>
      <w:r/>
    </w:p>
    <w:p>
      <w:pPr>
        <w:pStyle w:val="1107"/>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1107"/>
        <w:jc w:val="center"/>
        <w:rPr>
          <w:b/>
          <w:bCs/>
          <w:color w:val="000000"/>
          <w:sz w:val="60"/>
          <w:szCs w:val="60"/>
          <w:highlight w:val="none"/>
        </w:rPr>
        <w:outlineLvl w:val="9"/>
      </w:pPr>
      <w:r>
        <w:rPr>
          <w:b/>
          <w:bCs/>
          <w:color w:val="000000"/>
          <w:sz w:val="60"/>
          <w:szCs w:val="60"/>
          <w:highlight w:val="none"/>
        </w:rPr>
      </w:r>
      <w:r/>
    </w:p>
    <w:p>
      <w:pPr>
        <w:pStyle w:val="1107"/>
        <w:jc w:val="center"/>
        <w:rPr>
          <w:b/>
          <w:bCs/>
          <w:color w:val="000000"/>
          <w:sz w:val="60"/>
          <w:szCs w:val="60"/>
          <w:highlight w:val="none"/>
        </w:rPr>
        <w:outlineLvl w:val="9"/>
      </w:pPr>
      <w:r>
        <w:rPr>
          <w:b/>
          <w:bCs/>
          <w:color w:val="000000"/>
          <w:sz w:val="60"/>
          <w:szCs w:val="60"/>
          <w:highlight w:val="none"/>
        </w:rPr>
      </w:r>
      <w:r/>
    </w:p>
    <w:p>
      <w:pPr>
        <w:pStyle w:val="1107"/>
        <w:jc w:val="center"/>
        <w:spacing w:line="360" w:lineRule="auto"/>
        <w:rPr>
          <w:color w:val="000000"/>
          <w:sz w:val="60"/>
          <w:szCs w:val="60"/>
          <w:highlight w:val="none"/>
        </w:rPr>
        <w:outlineLvl w:val="9"/>
      </w:pPr>
      <w:r>
        <w:rPr>
          <w:color w:val="000000"/>
          <w:sz w:val="60"/>
          <w:szCs w:val="60"/>
          <w:highlight w:val="none"/>
        </w:rPr>
      </w:r>
      <w:r/>
    </w:p>
    <w:p>
      <w:pPr>
        <w:pStyle w:val="1107"/>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2026年滨开区新材料产业园智慧园区监管平台基础设施维保项目</w:t>
      </w:r>
      <w:r>
        <w:rPr>
          <w:rFonts w:hint="eastAsia" w:eastAsia="宋体"/>
          <w:bCs/>
          <w:color w:val="000000"/>
          <w:sz w:val="36"/>
          <w:szCs w:val="36"/>
          <w:highlight w:val="none"/>
          <w:lang w:eastAsia="zh-CN"/>
        </w:rPr>
      </w:r>
      <w:r/>
    </w:p>
    <w:p>
      <w:pPr>
        <w:pStyle w:val="1107"/>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JSZC-320411001-SYZB-G2026-0015</w:t>
      </w:r>
      <w:r>
        <w:rPr>
          <w:rFonts w:hint="eastAsia" w:eastAsia="宋体"/>
          <w:bCs/>
          <w:color w:val="000000"/>
          <w:sz w:val="36"/>
          <w:szCs w:val="36"/>
          <w:highlight w:val="none"/>
          <w:lang w:eastAsia="zh-CN"/>
        </w:rPr>
      </w:r>
      <w:r/>
    </w:p>
    <w:p>
      <w:pPr>
        <w:pStyle w:val="1107"/>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bCs/>
          <w:color w:val="000000"/>
          <w:sz w:val="36"/>
          <w:szCs w:val="36"/>
          <w:highlight w:val="none"/>
        </w:rPr>
        <w:t xml:space="preserve">采 购 人：</w:t>
      </w:r>
      <w:r>
        <w:rPr>
          <w:rFonts w:hint="eastAsia"/>
          <w:bCs/>
          <w:color w:val="000000"/>
          <w:sz w:val="36"/>
          <w:szCs w:val="36"/>
          <w:highlight w:val="none"/>
          <w:lang w:val="en-US" w:eastAsia="zh-CN"/>
        </w:rPr>
        <w:t xml:space="preserve">江苏常州滨江经济开发区管理委员会</w:t>
      </w:r>
      <w:r>
        <w:rPr>
          <w:rFonts w:hint="eastAsia" w:eastAsia="宋体"/>
          <w:bCs/>
          <w:color w:val="000000"/>
          <w:sz w:val="36"/>
          <w:szCs w:val="36"/>
          <w:highlight w:val="none"/>
          <w:lang w:val="en-US" w:eastAsia="zh-CN"/>
        </w:rPr>
      </w:r>
      <w:r/>
    </w:p>
    <w:p>
      <w:pPr>
        <w:pStyle w:val="1107"/>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1107"/>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1107"/>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1107"/>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163"/>
        <w:keepLines w:val="0"/>
        <w:keepNext w:val="0"/>
        <w:pageBreakBefore w:val="0"/>
        <w:spacing w:line="360" w:lineRule="auto"/>
        <w:widowControl w:val="off"/>
        <w:tabs>
          <w:tab w:val="left" w:pos="1050" w:leader="none"/>
          <w:tab w:val="right" w:pos="8937" w:leader="dot"/>
        </w:tabs>
        <w:rPr>
          <w:b w:val="0"/>
          <w:bCs/>
          <w:color w:val="000000"/>
          <w:sz w:val="44"/>
          <w:highlight w:val="none"/>
        </w:rPr>
        <w:outlineLvl w:val="9"/>
      </w:pPr>
      <w:r>
        <w:rPr>
          <w:b w:val="0"/>
          <w:bCs/>
          <w:color w:val="000000"/>
          <w:sz w:val="44"/>
          <w:highlight w:val="none"/>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_Toc15932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_Toc15932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_Toc11085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_Toc11085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_Toc4607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_Toc4607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_Toc8940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_Toc8940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_Toc29962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2</w:t>
      </w:r>
      <w:r>
        <w:rPr>
          <w:rFonts w:hint="eastAsia" w:ascii="宋体" w:hAnsi="宋体" w:eastAsia="宋体" w:cs="宋体"/>
          <w:color w:val="000000"/>
          <w:sz w:val="32"/>
          <w:szCs w:val="32"/>
          <w:highlight w:val="none"/>
          <w:lang w:val="en-US" w:eastAsia="zh-CN"/>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_Toc13366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val="en-US" w:eastAsia="zh-CN"/>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_Toc18832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val="en-US" w:eastAsia="zh-CN"/>
        </w:rPr>
      </w:r>
      <w:r/>
    </w:p>
    <w:p>
      <w:pPr>
        <w:pStyle w:val="11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63"/>
        <w:jc w:val="center"/>
        <w:keepLines w:val="0"/>
        <w:keepNext w:val="0"/>
        <w:pageBreakBefore w:val="0"/>
        <w:spacing w:line="360" w:lineRule="auto"/>
        <w:widowControl w:val="off"/>
        <w:tabs>
          <w:tab w:val="left" w:pos="1050" w:leader="none"/>
          <w:tab w:val="right" w:pos="8937" w:leader="dot"/>
        </w:tabs>
        <w:rPr>
          <w:b/>
          <w:color w:val="000000"/>
          <w:sz w:val="36"/>
          <w:szCs w:val="36"/>
          <w:highlight w:val="none"/>
        </w:rPr>
        <w:outlineLvl w:val="9"/>
      </w:pPr>
      <w:r>
        <w:rPr>
          <w:rFonts w:hint="eastAsia" w:ascii="宋体" w:hAnsi="宋体" w:eastAsia="宋体" w:cs="宋体"/>
          <w:color w:val="000000"/>
          <w:sz w:val="32"/>
          <w:szCs w:val="32"/>
          <w:highlight w:val="none"/>
        </w:rPr>
        <w:br w:type="page" w:clear="all"/>
      </w:r>
      <w:bookmarkStart w:id="1" w:name="_Toc99301419"/>
      <w:r/>
      <w:bookmarkStart w:id="2" w:name="_Toc15932"/>
      <w:r>
        <w:rPr>
          <w:b/>
          <w:color w:val="000000"/>
          <w:sz w:val="36"/>
          <w:szCs w:val="36"/>
          <w:highlight w:val="none"/>
        </w:rPr>
        <w:t xml:space="preserve">第一章   投标邀请</w:t>
      </w:r>
      <w:bookmarkEnd w:id="1"/>
      <w:r/>
      <w:bookmarkEnd w:id="2"/>
      <w:r>
        <w:rPr>
          <w:b/>
          <w:color w:val="000000"/>
          <w:sz w:val="36"/>
          <w:szCs w:val="36"/>
          <w:highlight w:val="none"/>
        </w:rPr>
      </w:r>
      <w:r/>
    </w:p>
    <w:p>
      <w:pPr>
        <w:pStyle w:val="1107"/>
        <w:spacing w:line="360" w:lineRule="auto"/>
        <w:rPr>
          <w:rFonts w:ascii="宋体" w:hAnsi="宋体"/>
          <w:b/>
          <w:bCs/>
          <w:color w:val="000000"/>
          <w:sz w:val="24"/>
          <w:highlight w:val="none"/>
        </w:rPr>
      </w:pPr>
      <w:r/>
      <w:bookmarkStart w:id="3" w:name="_Toc35393621"/>
      <w:r/>
      <w:bookmarkStart w:id="4" w:name="_Toc35393790"/>
      <w:r/>
      <w:bookmarkStart w:id="5" w:name="_Toc28359002"/>
      <w:r/>
      <w:bookmarkStart w:id="6" w:name="_Toc28359079"/>
      <w:r/>
      <w:bookmarkStart w:id="7" w:name="_Hlk24379207"/>
      <w:r/>
      <w:bookmarkStart w:id="8" w:name="_Toc28359080"/>
      <w:r/>
      <w:bookmarkStart w:id="9" w:name="_Toc28359003"/>
      <w:r/>
      <w:bookmarkStart w:id="10" w:name="_Toc35393791"/>
      <w:r/>
      <w:bookmarkStart w:id="11" w:name="_Toc35393622"/>
      <w:r>
        <w:rPr>
          <w:rFonts w:hint="eastAsia" w:ascii="宋体" w:hAnsi="宋体"/>
          <w:b/>
          <w:bCs/>
          <w:color w:val="000000"/>
          <w:sz w:val="24"/>
          <w:highlight w:val="none"/>
        </w:rPr>
        <w:t xml:space="preserve">一、项目基本情况</w:t>
      </w:r>
      <w:bookmarkEnd w:id="3"/>
      <w:r/>
      <w:bookmarkEnd w:id="4"/>
      <w:r/>
      <w:bookmarkEnd w:id="5"/>
      <w:r/>
      <w:bookmarkEnd w:id="6"/>
      <w:r>
        <w:rPr>
          <w:rFonts w:ascii="宋体" w:hAnsi="宋体"/>
          <w:b/>
          <w:bCs/>
          <w:color w:val="000000"/>
          <w:sz w:val="24"/>
          <w:highlight w:val="none"/>
        </w:rPr>
      </w:r>
      <w:r/>
    </w:p>
    <w:p>
      <w:pPr>
        <w:pStyle w:val="1107"/>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lang w:eastAsia="zh-CN"/>
        </w:rPr>
        <w:t xml:space="preserve">JSZC-320411001-SYZB-G2026-0015</w:t>
      </w:r>
      <w:r>
        <w:rPr>
          <w:rFonts w:hint="eastAsia" w:ascii="宋体" w:hAnsi="宋体" w:eastAsia="宋体" w:cs="宋体"/>
          <w:color w:val="000000"/>
          <w:sz w:val="24"/>
          <w:highlight w:val="none"/>
          <w:lang w:eastAsia="zh-CN"/>
        </w:rPr>
      </w:r>
      <w:r/>
    </w:p>
    <w:p>
      <w:pPr>
        <w:pStyle w:val="110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 </w:t>
      </w:r>
      <w:r>
        <w:rPr>
          <w:rFonts w:hint="eastAsia" w:ascii="宋体" w:hAnsi="宋体" w:cs="宋体"/>
          <w:color w:val="000000"/>
          <w:sz w:val="24"/>
          <w:highlight w:val="none"/>
          <w:u w:val="single"/>
          <w:lang w:eastAsia="zh-CN"/>
        </w:rPr>
        <w:t xml:space="preserve">2026年滨开区新材料产业园智慧园区监管平台基础设施维保项目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07"/>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.项目预算金额：</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113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113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w:t>
      </w:r>
      <w:r>
        <w:rPr>
          <w:rFonts w:hint="eastAsia" w:ascii="宋体" w:hAnsi="宋体"/>
          <w:color w:val="000000"/>
          <w:sz w:val="24"/>
          <w:highlight w:val="none"/>
          <w:lang w:val="en-US" w:eastAsia="zh-CN"/>
        </w:rPr>
      </w:r>
      <w:r/>
    </w:p>
    <w:p>
      <w:pPr>
        <w:pStyle w:val="110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2"/>
        <w:gridCol w:w="1876"/>
        <w:gridCol w:w="1094"/>
        <w:gridCol w:w="4039"/>
      </w:tblGrid>
      <w:tr>
        <w:trPr>
          <w:trHeight w:val="454"/>
        </w:trPr>
        <w:tc>
          <w:tcPr>
            <w:tcW w:w="1224" w:type="dxa"/>
            <w:vAlign w:val="center"/>
            <w:textDirection w:val="lrTb"/>
            <w:noWrap w:val="false"/>
          </w:tcPr>
          <w:p>
            <w:pPr>
              <w:pStyle w:val="1107"/>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7"/>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010" w:type="dxa"/>
            <w:vAlign w:val="center"/>
            <w:textDirection w:val="lrTb"/>
            <w:noWrap w:val="false"/>
          </w:tcPr>
          <w:p>
            <w:pPr>
              <w:pStyle w:val="110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采购预算金额（万元）</w:t>
            </w:r>
            <w:r>
              <w:rPr>
                <w:rFonts w:hint="eastAsia" w:ascii="宋体" w:hAnsi="宋体" w:eastAsia="宋体" w:cs="宋体"/>
                <w:bCs/>
                <w:color w:val="000000"/>
                <w:sz w:val="24"/>
                <w:szCs w:val="24"/>
                <w:highlight w:val="none"/>
              </w:rPr>
            </w:r>
            <w:r/>
          </w:p>
        </w:tc>
        <w:tc>
          <w:tcPr>
            <w:tcW w:w="589" w:type="dxa"/>
            <w:vAlign w:val="center"/>
            <w:textDirection w:val="lrTb"/>
            <w:noWrap w:val="false"/>
          </w:tcPr>
          <w:p>
            <w:pPr>
              <w:pStyle w:val="110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75" w:type="dxa"/>
            <w:vAlign w:val="center"/>
            <w:textDirection w:val="lrTb"/>
            <w:noWrap w:val="false"/>
          </w:tcPr>
          <w:p>
            <w:pPr>
              <w:pStyle w:val="1107"/>
              <w:jc w:val="left"/>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简要技术需求或服务要求</w:t>
            </w:r>
            <w:r>
              <w:rPr>
                <w:rFonts w:hint="eastAsia" w:ascii="宋体" w:hAnsi="宋体" w:eastAsia="宋体" w:cs="宋体"/>
                <w:bCs/>
                <w:color w:val="000000"/>
                <w:sz w:val="24"/>
                <w:szCs w:val="24"/>
                <w:highlight w:val="none"/>
                <w:lang w:val="en-US" w:eastAsia="zh-CN"/>
              </w:rPr>
            </w:r>
            <w:r/>
          </w:p>
        </w:tc>
      </w:tr>
      <w:tr>
        <w:trPr>
          <w:trHeight w:val="311"/>
        </w:trPr>
        <w:tc>
          <w:tcPr>
            <w:tcW w:w="2272" w:type="dxa"/>
            <w:vAlign w:val="center"/>
            <w:textDirection w:val="lrTb"/>
            <w:noWrap w:val="false"/>
          </w:tcPr>
          <w:p>
            <w:pPr>
              <w:pStyle w:val="1107"/>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eastAsia="zh-CN"/>
              </w:rPr>
              <w:t xml:space="preserve">2026年滨开区新材料产业园智慧园区监管平台基础设施维保</w:t>
            </w:r>
            <w:r>
              <w:rPr>
                <w:rFonts w:ascii="宋体" w:hAnsi="宋体" w:eastAsia="宋体" w:cs="宋体"/>
                <w:bCs/>
                <w:color w:val="000000"/>
                <w:sz w:val="24"/>
                <w:szCs w:val="24"/>
                <w:highlight w:val="none"/>
                <w:lang w:val="en-US" w:eastAsia="zh-CN"/>
              </w:rPr>
            </w:r>
            <w:r/>
          </w:p>
        </w:tc>
        <w:tc>
          <w:tcPr>
            <w:tcW w:w="1876" w:type="dxa"/>
            <w:vAlign w:val="center"/>
            <w:textDirection w:val="lrTb"/>
            <w:noWrap w:val="false"/>
          </w:tcPr>
          <w:p>
            <w:pPr>
              <w:pStyle w:val="1107"/>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113</w:t>
            </w:r>
            <w:r>
              <w:rPr>
                <w:rFonts w:ascii="宋体" w:hAnsi="宋体" w:eastAsia="宋体" w:cs="宋体"/>
                <w:bCs/>
                <w:color w:val="000000"/>
                <w:sz w:val="24"/>
                <w:szCs w:val="24"/>
                <w:highlight w:val="none"/>
                <w:lang w:val="en-US" w:eastAsia="zh-CN"/>
              </w:rPr>
            </w:r>
            <w:r/>
          </w:p>
        </w:tc>
        <w:tc>
          <w:tcPr>
            <w:tcW w:w="589" w:type="dxa"/>
            <w:vAlign w:val="center"/>
            <w:textDirection w:val="lrTb"/>
            <w:noWrap w:val="false"/>
          </w:tcPr>
          <w:p>
            <w:pPr>
              <w:pStyle w:val="1107"/>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2175" w:type="dxa"/>
            <w:vAlign w:val="center"/>
            <w:textDirection w:val="lrTb"/>
            <w:noWrap w:val="false"/>
          </w:tcPr>
          <w:p>
            <w:pPr>
              <w:pStyle w:val="1107"/>
              <w:jc w:val="left"/>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color w:val="000000"/>
                <w:sz w:val="24"/>
                <w:szCs w:val="24"/>
                <w:highlight w:val="none"/>
                <w:lang w:eastAsia="zh-CN"/>
              </w:rPr>
              <w:t xml:space="preserve">为满足滨开区新材料产业园智慧监管平台基础设备设施稳定运行，通过采购网络安全风险评估及维护服务、信息化基础设备运维服务、安防设施运维服务、通讯系统运维服务、其他专项服务，服务操作必须规范，必须符合国家和地方相关法律法规、规范，通过本次项目的实施进一步完善智慧化工园区硬件设备和网络运行维护技术保障体系，为智慧化工园区系统运行提供安全可靠地物理保障，为园区监管奠定坚实的基础。</w:t>
            </w:r>
            <w:r>
              <w:rPr>
                <w:rFonts w:hint="eastAsia" w:ascii="宋体" w:hAnsi="宋体" w:eastAsia="宋体" w:cs="宋体"/>
                <w:bCs/>
                <w:color w:val="000000"/>
                <w:sz w:val="24"/>
                <w:szCs w:val="24"/>
                <w:highlight w:val="none"/>
                <w:lang w:val="en-US" w:eastAsia="zh-CN"/>
              </w:rPr>
            </w:r>
            <w:r/>
          </w:p>
        </w:tc>
      </w:tr>
    </w:tbl>
    <w:p>
      <w:pPr>
        <w:pStyle w:val="1107"/>
        <w:ind w:firstLine="480"/>
        <w:spacing w:before="120" w:line="360" w:lineRule="auto"/>
        <w:rPr>
          <w:rFonts w:ascii="宋体" w:hAnsi="宋体" w:cs="宋体"/>
          <w:color w:val="000000"/>
          <w:sz w:val="24"/>
          <w:highlight w:val="none"/>
          <w:u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none"/>
        </w:rPr>
        <w:t xml:space="preserve"> </w:t>
      </w:r>
      <w:r>
        <w:rPr>
          <w:rFonts w:hint="eastAsia" w:ascii="宋体" w:hAnsi="宋体" w:eastAsia="宋体" w:cs="宋体"/>
          <w:color w:val="000000"/>
          <w:sz w:val="24"/>
          <w:szCs w:val="24"/>
          <w:highlight w:val="none"/>
          <w:u w:val="single"/>
          <w:lang w:val="en-US" w:eastAsia="zh-CN"/>
        </w:rPr>
        <w:t xml:space="preserve">自合同签订之日起一年。</w:t>
      </w:r>
      <w:r>
        <w:rPr>
          <w:rFonts w:hint="eastAsia" w:ascii="宋体" w:hAnsi="宋体" w:cs="宋体"/>
          <w:color w:val="000000"/>
          <w:sz w:val="24"/>
          <w:highlight w:val="none"/>
          <w:u w:val="none"/>
        </w:rPr>
        <w:t xml:space="preserve"> </w:t>
      </w:r>
      <w:r>
        <w:rPr>
          <w:rFonts w:ascii="宋体" w:hAnsi="宋体" w:cs="宋体"/>
          <w:color w:val="000000"/>
          <w:sz w:val="24"/>
          <w:highlight w:val="none"/>
          <w:u w:val="none"/>
        </w:rPr>
      </w:r>
      <w:r/>
    </w:p>
    <w:p>
      <w:pPr>
        <w:pStyle w:val="110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.本项目是否接受联合体：□是  ■否。</w:t>
      </w:r>
      <w:r>
        <w:rPr>
          <w:rFonts w:ascii="宋体" w:hAnsi="宋体" w:cs="宋体"/>
          <w:color w:val="000000"/>
          <w:sz w:val="24"/>
          <w:highlight w:val="none"/>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04"/>
      <w:r/>
      <w:bookmarkStart w:id="13"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107"/>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t xml:space="preserve">本项目是否接受分支机构参与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107"/>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107"/>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1124"/>
        <w:rPr>
          <w:rFonts w:hint="eastAsia" w:eastAsia="宋体"/>
          <w:color w:val="000000"/>
          <w:sz w:val="24"/>
          <w:highlight w:val="none"/>
          <w:u w:val="single"/>
          <w:lang w:eastAsia="zh-CN"/>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eastAsia="宋体"/>
          <w:color w:val="000000"/>
          <w:sz w:val="24"/>
          <w:highlight w:val="none"/>
          <w:u w:val="single"/>
          <w:lang w:eastAsia="zh-CN"/>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4"/>
      <w:r/>
      <w:bookmarkEnd w:id="15"/>
      <w:r>
        <w:rPr>
          <w:rFonts w:hint="eastAsia" w:ascii="宋体" w:hAnsi="宋体" w:eastAsia="宋体" w:cs="Times New Roman"/>
          <w:b/>
          <w:bCs/>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1.时间：自</w:t>
      </w:r>
      <w:r>
        <w:rPr>
          <w:rFonts w:hint="eastAsia" w:ascii="宋体" w:hAnsi="宋体" w:eastAsia="宋体" w:cs="宋体"/>
          <w:color w:val="000000"/>
          <w:sz w:val="24"/>
          <w:highlight w:val="none"/>
          <w:lang w:val="en-US" w:eastAsia="zh-CN" w:bidi="ar"/>
        </w:rPr>
        <w:t xml:space="preserve">招标</w:t>
      </w:r>
      <w:r>
        <w:rPr>
          <w:rFonts w:hint="eastAsia" w:ascii="宋体" w:hAnsi="宋体" w:eastAsia="宋体" w:cs="宋体"/>
          <w:color w:val="000000"/>
          <w:sz w:val="24"/>
          <w:highlight w:val="none"/>
          <w:lang w:bidi="ar"/>
        </w:rPr>
        <w:t xml:space="preserve">公告发布之日起5个工作日。</w:t>
      </w:r>
      <w:r>
        <w:rPr>
          <w:rFonts w:hint="eastAsia" w:ascii="宋体" w:hAnsi="宋体" w:eastAsia="宋体" w:cs="宋体"/>
          <w:color w:val="000000"/>
          <w:sz w:val="24"/>
          <w:highlight w:val="none"/>
          <w:lang w:bidi="ar"/>
        </w:rPr>
      </w:r>
      <w:r/>
    </w:p>
    <w:p>
      <w:pPr>
        <w:pStyle w:val="1107"/>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u w:val="single"/>
        </w:rPr>
        <w:t xml:space="preserve">“苏采云”政府采购一体化平台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eastAsia="zh-CN" w:bidi="ar"/>
        </w:rPr>
      </w:r>
      <w:r/>
    </w:p>
    <w:p>
      <w:pPr>
        <w:pStyle w:val="1107"/>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3.方式：</w:t>
      </w:r>
      <w:r>
        <w:rPr>
          <w:rFonts w:hint="eastAsia" w:ascii="宋体" w:hAnsi="宋体" w:cs="宋体"/>
          <w:color w:val="000000"/>
          <w:sz w:val="24"/>
          <w:highlight w:val="none"/>
          <w:u w:val="single"/>
          <w:lang w:bidi="ar"/>
        </w:rPr>
        <w:t xml:space="preserve">投标人登</w:t>
      </w:r>
      <w:r>
        <w:rPr>
          <w:rFonts w:hint="eastAsia" w:ascii="宋体" w:hAnsi="宋体" w:cs="宋体"/>
          <w:color w:val="000000"/>
          <w:sz w:val="24"/>
          <w:highlight w:val="none"/>
          <w:u w:val="single"/>
          <w:lang w:val="en-US" w:eastAsia="zh-CN" w:bidi="ar"/>
        </w:rPr>
        <w:t xml:space="preserve">录</w:t>
      </w:r>
      <w:r>
        <w:rPr>
          <w:rFonts w:hint="eastAsia" w:ascii="宋体" w:hAnsi="宋体" w:cs="宋体"/>
          <w:color w:val="000000"/>
          <w:sz w:val="24"/>
          <w:highlight w:val="none"/>
          <w:u w:val="singl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107"/>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6"/>
      <w:r/>
      <w:bookmarkEnd w:id="17"/>
      <w:r>
        <w:rPr>
          <w:rFonts w:hint="eastAsia" w:ascii="宋体" w:hAnsi="宋体" w:eastAsia="宋体" w:cs="Times New Roman"/>
          <w:b/>
          <w:bCs/>
          <w:color w:val="000000"/>
          <w:sz w:val="24"/>
          <w:szCs w:val="24"/>
          <w:highlight w:val="none"/>
        </w:rPr>
        <w:t xml:space="preserve">截止时间、开标时间和地点</w:t>
      </w:r>
      <w:bookmarkEnd w:id="18"/>
      <w:r/>
      <w:bookmarkEnd w:id="19"/>
      <w:r>
        <w:rPr>
          <w:rFonts w:hint="eastAsia" w:ascii="宋体" w:hAnsi="宋体" w:eastAsia="宋体" w:cs="Times New Roman"/>
          <w:b/>
          <w:bCs/>
          <w:color w:val="000000"/>
          <w:sz w:val="24"/>
          <w:szCs w:val="24"/>
          <w:highlight w:val="none"/>
        </w:rPr>
      </w:r>
      <w:r/>
    </w:p>
    <w:p>
      <w:pPr>
        <w:pStyle w:val="1107"/>
        <w:ind w:firstLine="480"/>
        <w:spacing w:line="360" w:lineRule="auto"/>
        <w:rPr>
          <w:rFonts w:hint="eastAsia" w:ascii="宋体" w:hAnsi="宋体" w:eastAsia="宋体" w:cs="宋体"/>
          <w:iCs/>
          <w:color w:val="000000"/>
          <w:sz w:val="24"/>
          <w:highlight w:val="none"/>
          <w:lang w:bidi="ar"/>
        </w:rPr>
        <w:outlineLvl w:val="9"/>
      </w:pPr>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4</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00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1107"/>
        <w:ind w:firstLine="480"/>
        <w:spacing w:line="360" w:lineRule="auto"/>
        <w:rPr>
          <w:rFonts w:hint="eastAsia" w:ascii="宋体" w:hAnsi="宋体" w:cs="宋体"/>
          <w:color w:val="000000"/>
          <w:sz w:val="24"/>
          <w:highlight w:val="none"/>
          <w:u w:val="single"/>
          <w:lang w:bidi="ar"/>
        </w:rPr>
        <w:outlineLvl w:val="9"/>
      </w:pPr>
      <w:r/>
      <w:bookmarkStart w:id="20" w:name="_Toc28359084"/>
      <w:r/>
      <w:bookmarkStart w:id="21" w:name="_Toc28359007"/>
      <w:r/>
      <w:bookmarkStart w:id="22" w:name="_Toc35393794"/>
      <w:r/>
      <w:bookmarkStart w:id="23" w:name="_Toc35393625"/>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w:t>
      </w:r>
      <w:r>
        <w:rPr>
          <w:rFonts w:hint="eastAsia" w:ascii="宋体" w:hAnsi="宋体" w:cs="宋体"/>
          <w:color w:val="000000"/>
          <w:sz w:val="24"/>
          <w:highlight w:val="none"/>
          <w:u w:val="single"/>
        </w:rPr>
        <w:t xml:space="preserve">一体化平台</w:t>
      </w:r>
      <w:r>
        <w:rPr>
          <w:rFonts w:hint="eastAsia" w:ascii="宋体" w:hAnsi="宋体" w:cs="宋体"/>
          <w:color w:val="000000"/>
          <w:sz w:val="24"/>
          <w:highlight w:val="none"/>
          <w:u w:val="single"/>
          <w:lang w:bidi="ar"/>
        </w:rPr>
        <w:t xml:space="preserve">网上开标大厅</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u w:val="single"/>
          <w:lang w:bidi="ar"/>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20"/>
      <w:r/>
      <w:bookmarkEnd w:id="21"/>
      <w:r/>
      <w:bookmarkEnd w:id="22"/>
      <w:r/>
      <w:bookmarkEnd w:id="23"/>
      <w:r>
        <w:rPr>
          <w:rFonts w:hint="eastAsia" w:ascii="宋体" w:hAnsi="宋体" w:eastAsia="宋体" w:cs="Times New Roman"/>
          <w:b/>
          <w:bCs/>
          <w:color w:val="000000"/>
          <w:sz w:val="24"/>
          <w:szCs w:val="24"/>
          <w:highlight w:val="none"/>
        </w:rPr>
      </w:r>
      <w:r/>
    </w:p>
    <w:p>
      <w:pPr>
        <w:pStyle w:val="1107"/>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4" w:name="_Toc35393626"/>
      <w:r/>
      <w:bookmarkStart w:id="25" w:name="_Toc35393795"/>
      <w:r>
        <w:rPr>
          <w:rFonts w:hint="eastAsia" w:ascii="宋体" w:hAnsi="宋体" w:eastAsia="宋体" w:cs="Times New Roman"/>
          <w:b/>
          <w:bCs/>
          <w:color w:val="000000"/>
          <w:sz w:val="24"/>
          <w:szCs w:val="24"/>
          <w:highlight w:val="none"/>
        </w:rPr>
        <w:t xml:space="preserve">六、其他补充事宜</w:t>
      </w:r>
      <w:bookmarkEnd w:id="24"/>
      <w:r/>
      <w:bookmarkEnd w:id="25"/>
      <w:r>
        <w:rPr>
          <w:rFonts w:hint="eastAsia" w:ascii="宋体" w:hAnsi="宋体" w:eastAsia="宋体" w:cs="Times New Roman"/>
          <w:b/>
          <w:bCs/>
          <w:color w:val="000000"/>
          <w:sz w:val="24"/>
          <w:szCs w:val="24"/>
          <w:highlight w:val="none"/>
        </w:rPr>
      </w:r>
      <w:r/>
    </w:p>
    <w:p>
      <w:pPr>
        <w:pStyle w:val="1107"/>
        <w:ind w:firstLine="480"/>
        <w:spacing w:line="360" w:lineRule="auto"/>
        <w:rPr>
          <w:rFonts w:ascii="Times New Roman" w:hAnsi="Times New Roman" w:eastAsia="宋体" w:cs="Times New Roman"/>
          <w:color w:val="000000"/>
          <w:sz w:val="24"/>
          <w:highlight w:val="none"/>
          <w:u w:val="single"/>
          <w:lang w:val="en-US" w:eastAsia="zh-CN"/>
        </w:rPr>
        <w:outlineLvl w:val="9"/>
      </w:pPr>
      <w:r/>
      <w:bookmarkStart w:id="26" w:name="_Toc35393627"/>
      <w:r/>
      <w:bookmarkStart w:id="27" w:name="_Toc28359008"/>
      <w:r/>
      <w:bookmarkStart w:id="28" w:name="_Toc28359085"/>
      <w:r/>
      <w:bookmarkStart w:id="29" w:name="_Toc35393796"/>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本项目需要落实的政府采购政策：</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ascii="Times New Roman" w:hAnsi="Times New Roman" w:eastAsia="宋体" w:cs="Times New Roman"/>
          <w:color w:val="000000"/>
          <w:sz w:val="24"/>
          <w:highlight w:val="none"/>
          <w:u w:val="single"/>
          <w:lang w:val="en-US" w:eastAsia="zh-CN"/>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lang w:eastAsia="zh-CN"/>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投标文件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本项目采用远程“不见面”交易方式，无需到现场提交，请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供应商在提交时间截止前提前登入“苏采云”，通过系统在线提交电子</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.有关本次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.注意事项</w:t>
      </w:r>
      <w:r>
        <w:rPr>
          <w:rFonts w:hint="eastAsia" w:ascii="宋体" w:hAnsi="宋体" w:eastAsia="宋体" w:cs="宋体"/>
          <w:color w:val="000000"/>
          <w:sz w:val="24"/>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07"/>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供应商可以在“江苏政府采购网”或者“常州市政府采购网”自行免费下载采购文件，但本项目通过“苏采云”系统采用电子化不见面交易的模式，</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eastAsia="宋体" w:cs="宋体"/>
          <w:color w:val="000000"/>
          <w:sz w:val="24"/>
          <w:highlight w:val="none"/>
          <w:lang w:val="en-US" w:eastAsia="zh-CN"/>
        </w:rPr>
      </w:r>
      <w:r/>
    </w:p>
    <w:p>
      <w:pPr>
        <w:pStyle w:val="110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供应商，视为未参与该项政府采购活动，不具备对该政府采购项目提出质疑的法定权利，但因</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供应商资格条件或报名时间设定不符合有关法律法规规定等原因使</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供应商权益受损的除外。</w:t>
      </w:r>
      <w:r>
        <w:rPr>
          <w:rFonts w:ascii="宋体" w:hAnsi="宋体" w:eastAsia="宋体" w:cs="宋体"/>
          <w:color w:val="000000"/>
          <w:sz w:val="24"/>
          <w:highlight w:val="none"/>
          <w:lang w:val="en-US" w:eastAsia="zh-CN"/>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10.如潜在</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供应商未按上述要求操作，将自行承担所产生的风险。</w:t>
      </w:r>
      <w:r>
        <w:rPr>
          <w:rFonts w:hint="eastAsia" w:ascii="宋体" w:hAnsi="宋体" w:eastAsia="宋体" w:cs="宋体"/>
          <w:color w:val="000000"/>
          <w:sz w:val="24"/>
          <w:highlight w:val="none"/>
          <w:lang w:val="en-US" w:eastAsia="zh-CN"/>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110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rPr>
      </w:r>
      <w:r/>
    </w:p>
    <w:p>
      <w:pPr>
        <w:pStyle w:val="110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.关于深入开展常州市政府采购线上合同信用融资：</w:t>
      </w:r>
      <w:r>
        <w:rPr>
          <w:rFonts w:hint="eastAsia" w:ascii="宋体" w:hAnsi="宋体" w:eastAsia="宋体" w:cs="宋体"/>
          <w:color w:val="000000"/>
          <w:sz w:val="24"/>
          <w:highlight w:val="none"/>
        </w:rPr>
      </w:r>
      <w:r/>
    </w:p>
    <w:p>
      <w:pPr>
        <w:pStyle w:val="1107"/>
        <w:ind w:firstLine="480"/>
        <w:spacing w:line="360" w:lineRule="auto"/>
        <w:rPr>
          <w:rFonts w:hint="eastAsia" w:ascii="Times New Roman" w:hAnsi="Times New Roman" w:eastAsia="宋体" w:cs="Times New Roman"/>
          <w:color w:val="000000"/>
          <w:sz w:val="24"/>
          <w:highlight w:val="none"/>
        </w:rPr>
        <w:outlineLvl w:val="9"/>
      </w:pPr>
      <w:r>
        <w:rPr>
          <w:rFonts w:hint="eastAsia" w:ascii="宋体" w:hAnsi="宋体" w:eastAsia="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Times New Roman" w:hAnsi="Times New Roman" w:eastAsia="宋体" w:cs="Times New Roman"/>
          <w:color w:val="000000"/>
          <w:sz w:val="24"/>
          <w:highlight w:val="none"/>
        </w:rPr>
      </w:r>
      <w:r/>
    </w:p>
    <w:p>
      <w:pPr>
        <w:pStyle w:val="110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Times New Roman"/>
          <w:b/>
          <w:bCs/>
          <w:color w:val="000000"/>
          <w:sz w:val="24"/>
          <w:szCs w:val="24"/>
          <w:highlight w:val="none"/>
        </w:rPr>
      </w:r>
      <w:r/>
    </w:p>
    <w:p>
      <w:pPr>
        <w:pStyle w:val="110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30" w:name="_Toc512937850"/>
      <w:r/>
      <w:bookmarkStart w:id="31" w:name="_Toc127161488"/>
      <w:r/>
      <w:bookmarkStart w:id="32" w:name="_Toc150774783"/>
      <w:r/>
      <w:bookmarkStart w:id="33" w:name="_Toc195842950"/>
      <w:r/>
      <w:bookmarkStart w:id="34" w:name="_Toc127151777"/>
      <w:r/>
      <w:bookmarkStart w:id="35" w:name="_Toc353873938"/>
      <w:r/>
      <w:bookmarkStart w:id="36" w:name="_Toc305158928"/>
      <w:r/>
      <w:bookmarkStart w:id="37" w:name="_Toc99301420"/>
      <w:r/>
      <w:bookmarkStart w:id="38" w:name="_Toc353825548"/>
      <w:r/>
      <w:bookmarkStart w:id="39" w:name="_Toc264969275"/>
      <w:r/>
      <w:bookmarkStart w:id="40" w:name="_Toc226965856"/>
      <w:r/>
      <w:bookmarkStart w:id="41" w:name="_Toc265228423"/>
      <w:r/>
      <w:bookmarkStart w:id="42" w:name="_Toc305158854"/>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en-US" w:eastAsia="zh-CN" w:bidi="ar"/>
        </w:rPr>
        <w:t xml:space="preserve">江苏常州滨江经济开发区管理委员会 </w:t>
      </w:r>
      <w:r>
        <w:rPr>
          <w:rFonts w:hint="eastAsia" w:ascii="宋体" w:hAnsi="宋体" w:eastAsia="宋体" w:cs="宋体"/>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cs="宋体"/>
          <w:color w:val="000000"/>
          <w:sz w:val="24"/>
          <w:highlight w:val="none"/>
          <w:u w:val="single"/>
          <w:lang w:bidi="ar"/>
        </w:rPr>
        <w:t xml:space="preserve">常州市新北区东海路常州滨江国际企业港1号楼</w:t>
      </w:r>
      <w:r>
        <w:rPr>
          <w:rFonts w:hint="eastAsia" w:ascii="宋体" w:hAnsi="宋体" w:eastAsia="宋体" w:cs="宋体"/>
          <w:color w:val="000000"/>
          <w:sz w:val="24"/>
          <w:highlight w:val="none"/>
          <w:u w:val="single"/>
          <w:lang w:val="zh-TW" w:bidi="ar"/>
        </w:rPr>
      </w:r>
      <w:r/>
    </w:p>
    <w:p>
      <w:pPr>
        <w:pStyle w:val="1107"/>
        <w:ind w:firstLine="480"/>
        <w:jc w:val="left"/>
        <w:keepLines w:val="0"/>
        <w:keepNext w:val="0"/>
        <w:pageBreakBefore w:val="0"/>
        <w:spacing w:line="360" w:lineRule="auto"/>
        <w:widowControl/>
        <w:rPr>
          <w:rFonts w:ascii="宋体" w:hAnsi="宋体" w:eastAsia="宋体" w:cs="宋体"/>
          <w:color w:val="000000"/>
          <w:sz w:val="24"/>
          <w:highlight w:val="none"/>
          <w:lang w:val="en-US"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cs="宋体"/>
          <w:color w:val="000000"/>
          <w:sz w:val="24"/>
          <w:highlight w:val="none"/>
          <w:u w:val="single"/>
          <w:lang w:val="en-US" w:eastAsia="zh-CN" w:bidi="ar"/>
        </w:rPr>
        <w:t xml:space="preserve">许先生、0519-81591056</w:t>
      </w:r>
      <w:r>
        <w:rPr>
          <w:rFonts w:hint="eastAsia" w:ascii="宋体" w:hAnsi="宋体" w:eastAsia="宋体" w:cs="宋体"/>
          <w:color w:val="000000"/>
          <w:sz w:val="24"/>
          <w:highlight w:val="none"/>
          <w:u w:val="single"/>
          <w:lang w:val="en-US" w:eastAsia="zh-CN" w:bidi="ar"/>
        </w:rPr>
        <w:t xml:space="preserve"> </w:t>
      </w:r>
      <w:r>
        <w:rPr>
          <w:rFonts w:ascii="宋体" w:hAnsi="宋体" w:eastAsia="宋体" w:cs="宋体"/>
          <w:color w:val="000000"/>
          <w:sz w:val="24"/>
          <w:highlight w:val="none"/>
          <w:lang w:val="en-US" w:bidi="ar"/>
        </w:rPr>
      </w:r>
      <w:r/>
    </w:p>
    <w:p>
      <w:pPr>
        <w:pStyle w:val="110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0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1107"/>
        <w:ind w:firstLine="480"/>
        <w:jc w:val="left"/>
        <w:keepLines w:val="0"/>
        <w:keepNext w:val="0"/>
        <w:pageBreakBefore w:val="0"/>
        <w:spacing w:line="360" w:lineRule="auto"/>
        <w:widowControl/>
        <w:rPr>
          <w:rFonts w:ascii="宋体" w:hAnsi="宋体" w:eastAsia="宋体" w:cs="宋体"/>
          <w:color w:val="000000"/>
          <w:sz w:val="24"/>
          <w:highlight w:val="none"/>
          <w:lang w:val="en-US"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王涛</w:t>
      </w:r>
      <w:r>
        <w:rPr>
          <w:rFonts w:ascii="宋体" w:hAnsi="宋体" w:eastAsia="宋体" w:cs="宋体"/>
          <w:color w:val="000000"/>
          <w:sz w:val="24"/>
          <w:highlight w:val="none"/>
          <w:lang w:val="en-US"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eastAsia="zh-CN" w:bidi="ar"/>
        </w:rPr>
        <w:t xml:space="preserve">0519-88818292-（8000）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u w:val="single"/>
          <w:lang w:val="en-US" w:eastAsia="zh-CN"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r>
      <w:r/>
    </w:p>
    <w:p>
      <w:pPr>
        <w:pStyle w:val="1107"/>
        <w:jc w:val="center"/>
        <w:keepLines w:val="0"/>
        <w:keepNext w:val="0"/>
        <w:pageBreakBefore w:val="0"/>
        <w:spacing w:line="360" w:lineRule="auto"/>
        <w:rPr>
          <w:rFonts w:hint="eastAsia" w:ascii="宋体" w:hAnsi="宋体" w:eastAsia="宋体" w:cs="宋体"/>
          <w:color w:val="000000"/>
          <w:sz w:val="24"/>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br w:type="page" w:clear="all"/>
      </w:r>
      <w:r/>
    </w:p>
    <w:p>
      <w:pPr>
        <w:pStyle w:val="1107"/>
        <w:jc w:val="center"/>
        <w:keepLines w:val="0"/>
        <w:keepNext w:val="0"/>
        <w:pageBreakBefore w:val="0"/>
        <w:spacing w:line="360" w:lineRule="auto"/>
        <w:rPr>
          <w:b/>
          <w:color w:val="000000"/>
          <w:sz w:val="36"/>
          <w:szCs w:val="36"/>
          <w:highlight w:val="none"/>
        </w:rPr>
        <w:outlineLvl w:val="0"/>
      </w:pPr>
      <w:r/>
      <w:bookmarkStart w:id="43" w:name="_Toc11085"/>
      <w:r>
        <w:rPr>
          <w:b/>
          <w:color w:val="000000"/>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64229360"/>
      <w:r/>
      <w:bookmarkStart w:id="45" w:name="_Toc127151519"/>
      <w:r/>
      <w:bookmarkStart w:id="46" w:name="_Toc151190146"/>
      <w:r/>
      <w:bookmarkStart w:id="47" w:name="_Toc151193761"/>
      <w:r/>
      <w:bookmarkStart w:id="48" w:name="_Toc127151720"/>
      <w:r/>
      <w:bookmarkStart w:id="49" w:name="_Toc164608633"/>
      <w:r/>
      <w:bookmarkStart w:id="50" w:name="_Toc150480757"/>
      <w:r/>
      <w:bookmarkStart w:id="51" w:name="_Toc164229214"/>
      <w:r/>
      <w:bookmarkStart w:id="52" w:name="_Toc164351613"/>
      <w:r/>
      <w:bookmarkStart w:id="53" w:name="_Toc151193907"/>
      <w:r/>
      <w:bookmarkStart w:id="54" w:name="_Toc150774619"/>
      <w:r/>
      <w:bookmarkStart w:id="55" w:name="_Toc226309763"/>
      <w:r/>
      <w:bookmarkStart w:id="56" w:name="_Toc226337215"/>
      <w:r/>
      <w:bookmarkStart w:id="57" w:name="_Toc142311021"/>
      <w:r/>
      <w:bookmarkStart w:id="58" w:name="_Toc226965792"/>
      <w:r/>
      <w:bookmarkStart w:id="59" w:name="_Toc520356144"/>
      <w:r/>
      <w:bookmarkStart w:id="60" w:name="_Toc151193689"/>
      <w:r/>
      <w:bookmarkStart w:id="61" w:name="_Toc226965709"/>
      <w:r/>
      <w:bookmarkStart w:id="62" w:name="_Toc164608788"/>
      <w:r/>
      <w:bookmarkStart w:id="63" w:name="_Toc151193617"/>
      <w:r/>
      <w:bookmarkStart w:id="64" w:name="_Toc151193833"/>
      <w:r/>
      <w:bookmarkStart w:id="65" w:name="_Toc127161433"/>
      <w:r/>
      <w:bookmarkStart w:id="66" w:name="_Toc149720812"/>
      <w:r/>
      <w:bookmarkStart w:id="67" w:name="_Toc195842884"/>
      <w:r/>
      <w:bookmarkStart w:id="68" w:name="_Toc150774724"/>
      <w:r/>
      <w:bookmarkStart w:id="69" w:name="_Toc150509270"/>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1107"/>
        <w:jc w:val="center"/>
        <w:rPr>
          <w:b/>
          <w:color w:val="000000"/>
          <w:sz w:val="28"/>
          <w:szCs w:val="28"/>
          <w:highlight w:val="none"/>
        </w:rPr>
        <w:outlineLvl w:val="9"/>
      </w:pPr>
      <w:r>
        <w:rPr>
          <w:b/>
          <w:color w:val="000000"/>
          <w:sz w:val="28"/>
          <w:szCs w:val="28"/>
          <w:highlight w:val="none"/>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07"/>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107"/>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1107"/>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1028"/>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1058"/>
        </w:trPr>
        <w:tc>
          <w:tcPr>
            <w:tcW w:w="988" w:type="dxa"/>
            <w:vAlign w:val="center"/>
            <w:vMerge w:val="restart"/>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149"/>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1073"/>
        </w:trPr>
        <w:tc>
          <w:tcPr>
            <w:tcW w:w="988" w:type="dxa"/>
            <w:vAlign w:val="center"/>
            <w:vMerge w:val="continue"/>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680"/>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1107"/>
              <w:jc w:val="left"/>
              <w:keepLines w:val="0"/>
              <w:keepNext w:val="0"/>
              <w:widowControl/>
              <w:rPr>
                <w:rFonts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bidi="ar"/>
              </w:rPr>
              <w:t xml:space="preserve">软件和信息技术服务业</w:t>
            </w:r>
            <w:r>
              <w:rPr>
                <w:rFonts w:ascii="宋体" w:hAnsi="宋体" w:eastAsia="宋体" w:cs="宋体"/>
                <w:color w:val="000000"/>
                <w:sz w:val="24"/>
                <w:szCs w:val="24"/>
                <w:highlight w:val="none"/>
                <w:lang w:val="en-US" w:eastAsia="zh-CN" w:bidi="ar-SA"/>
              </w:rPr>
            </w:r>
            <w:r/>
          </w:p>
        </w:tc>
      </w:tr>
      <w:tr>
        <w:trPr>
          <w:trHeight w:val="1118"/>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496"/>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511"/>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37"/>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962"/>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于2026年3月19日11:00（北京时间）前以书面形式递交至江苏尚阳工程管理有限公司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1340"/>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王涛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0519-88818292-（8000）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3424"/>
        </w:trPr>
        <w:tc>
          <w:tcPr>
            <w:tcW w:w="988" w:type="dxa"/>
            <w:vAlign w:val="center"/>
            <w:textDirection w:val="lrTb"/>
            <w:noWrap w:val="false"/>
          </w:tcPr>
          <w:p>
            <w:pPr>
              <w:pStyle w:val="1149"/>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r>
            <w:r/>
          </w:p>
          <w:p>
            <w:pPr>
              <w:pStyle w:val="1107"/>
              <w:jc w:val="left"/>
              <w:rPr>
                <w:rFonts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收费比例按差额定率分档累进法计算，收费差额费率：</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金额在100万元(含)以下的为1.5%，</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金额在100万元（不含）至500万元（含）的为0.8%</w:t>
            </w:r>
            <w:r>
              <w:rPr>
                <w:rFonts w:hint="eastAsia" w:ascii="宋体" w:hAnsi="宋体" w:eastAsia="宋体" w:cs="宋体"/>
                <w:color w:val="000000"/>
                <w:sz w:val="24"/>
                <w:szCs w:val="24"/>
                <w:highlight w:val="none"/>
                <w:u w:val="single"/>
                <w:shd w:val="clear" w:color="auto" w:fill="auto"/>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金额在</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00万元（不含）至</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00万元（含）的为0.</w:t>
            </w:r>
            <w:r>
              <w:rPr>
                <w:rFonts w:hint="eastAsia" w:ascii="宋体" w:hAnsi="宋体" w:eastAsia="宋体" w:cs="宋体"/>
                <w:color w:val="000000"/>
                <w:sz w:val="24"/>
                <w:szCs w:val="24"/>
                <w:highlight w:val="none"/>
                <w:u w:val="single"/>
                <w:lang w:val="en-US" w:eastAsia="zh-CN"/>
              </w:rPr>
              <w:t xml:space="preserve">45</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shd w:val="clear" w:color="auto" w:fill="auto"/>
              </w:rPr>
              <w:t xml:space="preserve">服务收费按上述计算方法</w:t>
            </w:r>
            <w:r>
              <w:rPr>
                <w:rFonts w:hint="eastAsia" w:ascii="宋体" w:hAnsi="宋体" w:cs="宋体"/>
                <w:color w:val="000000"/>
                <w:sz w:val="24"/>
                <w:szCs w:val="24"/>
                <w:highlight w:val="none"/>
                <w:u w:val="single"/>
                <w:shd w:val="clear" w:color="auto" w:fill="auto"/>
                <w:lang w:val="en-US" w:eastAsia="zh-CN"/>
              </w:rPr>
              <w:t xml:space="preserve">的100%</w:t>
            </w:r>
            <w:r>
              <w:rPr>
                <w:rFonts w:hint="eastAsia" w:ascii="宋体" w:hAnsi="宋体" w:eastAsia="宋体" w:cs="宋体"/>
                <w:color w:val="000000"/>
                <w:sz w:val="24"/>
                <w:szCs w:val="24"/>
                <w:highlight w:val="none"/>
                <w:u w:val="single"/>
                <w:shd w:val="clear" w:color="auto" w:fill="auto"/>
                <w:lang w:val="en-US" w:eastAsia="zh-CN"/>
              </w:rPr>
              <w:t xml:space="preserve">收取，</w:t>
            </w:r>
            <w:r>
              <w:rPr>
                <w:rFonts w:hint="eastAsia" w:ascii="宋体" w:hAnsi="宋体" w:eastAsia="宋体" w:cs="宋体"/>
                <w:color w:val="000000"/>
                <w:sz w:val="24"/>
                <w:szCs w:val="24"/>
                <w:highlight w:val="none"/>
                <w:u w:val="single"/>
                <w:shd w:val="clear" w:color="auto" w:fill="auto"/>
              </w:rPr>
              <w:t xml:space="preserve">不足人民币3000元的，按人民币3000元收取</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107"/>
              <w:jc w:val="left"/>
              <w:rPr>
                <w:rFonts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中标人</w:t>
            </w:r>
            <w:r>
              <w:rPr>
                <w:rFonts w:hint="eastAsia" w:ascii="宋体" w:hAnsi="宋体" w:cs="宋体"/>
                <w:color w:val="000000"/>
                <w:sz w:val="24"/>
                <w:highlight w:val="none"/>
                <w:u w:val="single"/>
              </w:rPr>
              <w:t xml:space="preserve">应在领取中标通知书时将中标服务费付至采购代理机构的账户并备注项目编号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7"/>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ascii="宋体" w:hAnsi="宋体" w:cs="宋体"/>
                <w:color w:val="000000"/>
                <w:sz w:val="24"/>
                <w:highlight w:val="none"/>
                <w:u w:val="single"/>
              </w:rPr>
            </w:r>
            <w:r/>
          </w:p>
          <w:p>
            <w:pPr>
              <w:pStyle w:val="1107"/>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ascii="宋体" w:hAnsi="宋体" w:cs="宋体"/>
                <w:color w:val="000000"/>
                <w:sz w:val="24"/>
                <w:highlight w:val="none"/>
                <w:u w:val="single"/>
              </w:rPr>
            </w:r>
            <w:r/>
          </w:p>
          <w:p>
            <w:pPr>
              <w:pStyle w:val="1107"/>
              <w:jc w:val="left"/>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highlight w:val="none"/>
                <w:u w:val="single"/>
              </w:rPr>
              <w:t xml:space="preserve">开户银行：兴业银行股份有限公司常州分行</w:t>
            </w:r>
            <w:r>
              <w:rPr>
                <w:rFonts w:hint="eastAsia" w:ascii="宋体" w:hAnsi="宋体" w:eastAsia="宋体" w:cs="宋体"/>
                <w:color w:val="000000"/>
                <w:sz w:val="24"/>
                <w:szCs w:val="24"/>
                <w:highlight w:val="none"/>
                <w:lang w:val="en-US" w:eastAsia="zh-CN" w:bidi="ar-SA"/>
              </w:rPr>
            </w:r>
            <w:r/>
          </w:p>
        </w:tc>
      </w:tr>
      <w:tr>
        <w:trPr>
          <w:trHeight w:val="3424"/>
        </w:trPr>
        <w:tc>
          <w:tcPr>
            <w:tcW w:w="988" w:type="dxa"/>
            <w:vAlign w:val="center"/>
            <w:textDirection w:val="lrTb"/>
            <w:noWrap w:val="false"/>
          </w:tcPr>
          <w:p>
            <w:pPr>
              <w:pStyle w:val="1149"/>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2.8</w:t>
            </w:r>
            <w:r>
              <w:rPr>
                <w:rFonts w:ascii="Times New Roman" w:hAnsi="Times New Roman"/>
                <w:color w:val="000000"/>
                <w:sz w:val="24"/>
                <w:szCs w:val="24"/>
                <w:highlight w:val="none"/>
              </w:rPr>
            </w:r>
            <w:r/>
          </w:p>
        </w:tc>
        <w:tc>
          <w:tcPr>
            <w:tcW w:w="1701" w:type="dxa"/>
            <w:vAlign w:val="center"/>
            <w:textDirection w:val="lrTb"/>
            <w:noWrap w:val="false"/>
          </w:tcPr>
          <w:p>
            <w:pPr>
              <w:pStyle w:val="1107"/>
              <w:jc w:val="center"/>
              <w:rPr>
                <w:color w:val="000000"/>
                <w:sz w:val="24"/>
                <w:highlight w:val="none"/>
              </w:rPr>
            </w:pPr>
            <w:r>
              <w:rPr>
                <w:rFonts w:hint="eastAsia"/>
                <w:color w:val="000000"/>
                <w:sz w:val="24"/>
                <w:highlight w:val="none"/>
              </w:rPr>
              <w:t xml:space="preserve">电子系统意外情况处理条款</w:t>
            </w:r>
            <w:r>
              <w:rPr>
                <w:color w:val="000000"/>
                <w:sz w:val="24"/>
                <w:highlight w:val="none"/>
              </w:rPr>
            </w:r>
            <w:r/>
          </w:p>
        </w:tc>
        <w:tc>
          <w:tcPr>
            <w:tcW w:w="7540" w:type="dxa"/>
            <w:vAlign w:val="center"/>
            <w:textDirection w:val="lrTb"/>
            <w:noWrap w:val="false"/>
          </w:tcPr>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w:t>
            </w:r>
            <w:r>
              <w:rPr>
                <w:rFonts w:hint="eastAsia" w:ascii="宋体" w:hAnsi="宋体" w:cs="宋体"/>
                <w:color w:val="000000"/>
                <w:sz w:val="24"/>
                <w:highlight w:val="none"/>
                <w:u w:val="none"/>
                <w:lang w:eastAsia="zh-CN"/>
              </w:rPr>
              <w:t xml:space="preserve">投标人</w:t>
            </w:r>
            <w:r>
              <w:rPr>
                <w:rFonts w:hint="eastAsia" w:ascii="宋体" w:hAnsi="宋体" w:cs="宋体"/>
                <w:color w:val="000000"/>
                <w:sz w:val="24"/>
                <w:highlight w:val="none"/>
                <w:u w:val="none"/>
              </w:rPr>
              <w:t xml:space="preserve">报名、</w:t>
            </w:r>
            <w:r>
              <w:rPr>
                <w:rFonts w:hint="eastAsia" w:ascii="宋体" w:hAnsi="宋体" w:cs="宋体"/>
                <w:color w:val="000000"/>
                <w:sz w:val="24"/>
                <w:highlight w:val="none"/>
                <w:u w:val="none"/>
                <w:lang w:eastAsia="zh-CN"/>
              </w:rPr>
              <w:t xml:space="preserve">投标文件</w:t>
            </w:r>
            <w:r>
              <w:rPr>
                <w:rFonts w:hint="eastAsia" w:ascii="宋体" w:hAnsi="宋体" w:cs="宋体"/>
                <w:color w:val="000000"/>
                <w:sz w:val="24"/>
                <w:highlight w:val="none"/>
                <w:u w:val="none"/>
              </w:rPr>
              <w:t xml:space="preserve">上传、</w:t>
            </w:r>
            <w:r>
              <w:rPr>
                <w:rFonts w:hint="eastAsia" w:ascii="宋体" w:hAnsi="宋体" w:cs="宋体"/>
                <w:color w:val="000000"/>
                <w:sz w:val="24"/>
                <w:highlight w:val="none"/>
                <w:u w:val="none"/>
                <w:lang w:eastAsia="zh-CN"/>
              </w:rPr>
              <w:t xml:space="preserve">投标文件</w:t>
            </w:r>
            <w:r>
              <w:rPr>
                <w:rFonts w:hint="eastAsia" w:ascii="宋体" w:hAnsi="宋体" w:cs="宋体"/>
                <w:color w:val="000000"/>
                <w:sz w:val="24"/>
                <w:highlight w:val="none"/>
                <w:u w:val="none"/>
              </w:rPr>
              <w:t xml:space="preserve">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w:t>
            </w:r>
            <w:r>
              <w:rPr>
                <w:rFonts w:hint="eastAsia" w:ascii="宋体" w:hAnsi="宋体" w:cs="宋体"/>
                <w:color w:val="000000"/>
                <w:sz w:val="24"/>
                <w:highlight w:val="none"/>
                <w:u w:val="none"/>
                <w:lang w:eastAsia="zh-CN"/>
              </w:rPr>
              <w:t xml:space="preserve">投标文件</w:t>
            </w:r>
            <w:r>
              <w:rPr>
                <w:rFonts w:hint="eastAsia" w:ascii="宋体" w:hAnsi="宋体" w:cs="宋体"/>
                <w:color w:val="000000"/>
                <w:sz w:val="24"/>
                <w:highlight w:val="none"/>
                <w:u w:val="none"/>
              </w:rPr>
              <w:t xml:space="preserve">递交方式以招标文件载明为准。在电子系统发生故障时，采购代理机构仅依据上述程序处理，不接受任何现场提交的纸质、U盘等非招标文件规定的</w:t>
            </w:r>
            <w:r>
              <w:rPr>
                <w:rFonts w:hint="eastAsia" w:ascii="宋体" w:hAnsi="宋体" w:cs="宋体"/>
                <w:color w:val="000000"/>
                <w:sz w:val="24"/>
                <w:highlight w:val="none"/>
                <w:u w:val="none"/>
                <w:lang w:eastAsia="zh-CN"/>
              </w:rPr>
              <w:t xml:space="preserve">投标文件</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w:t>
            </w:r>
            <w:r>
              <w:rPr>
                <w:rFonts w:hint="eastAsia" w:ascii="宋体" w:hAnsi="宋体" w:cs="宋体"/>
                <w:color w:val="000000"/>
                <w:sz w:val="24"/>
                <w:highlight w:val="none"/>
                <w:u w:val="none"/>
                <w:lang w:eastAsia="zh-CN"/>
              </w:rPr>
              <w:t xml:space="preserve">投标文件</w:t>
            </w:r>
            <w:r>
              <w:rPr>
                <w:rFonts w:hint="eastAsia" w:ascii="宋体" w:hAnsi="宋体" w:cs="宋体"/>
                <w:color w:val="000000"/>
                <w:sz w:val="24"/>
                <w:highlight w:val="none"/>
                <w:u w:val="none"/>
              </w:rPr>
              <w:t xml:space="preserve">及评审记录。</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 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1107"/>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000000"/>
                <w:sz w:val="24"/>
                <w:highlight w:val="none"/>
                <w:u w:val="none"/>
                <w:lang w:eastAsia="zh-CN"/>
              </w:rPr>
              <w:t xml:space="preserve">投标人</w:t>
            </w:r>
            <w:r>
              <w:rPr>
                <w:rFonts w:hint="eastAsia" w:ascii="宋体" w:hAnsi="宋体" w:cs="宋体"/>
                <w:color w:val="000000"/>
                <w:sz w:val="24"/>
                <w:highlight w:val="none"/>
                <w:u w:val="none"/>
              </w:rPr>
              <w:t xml:space="preserve">应密切关注上述网站公告，公告内容对各方具有约束力。</w:t>
            </w:r>
            <w:r>
              <w:rPr>
                <w:rFonts w:hint="eastAsia" w:ascii="宋体" w:hAnsi="宋体" w:cs="宋体"/>
                <w:color w:val="000000"/>
                <w:sz w:val="24"/>
                <w:highlight w:val="none"/>
                <w:u w:val="none"/>
              </w:rPr>
            </w:r>
            <w:r/>
          </w:p>
          <w:p>
            <w:pPr>
              <w:pStyle w:val="1107"/>
              <w:rPr>
                <w:rFonts w:hint="eastAsia" w:ascii="宋体" w:hAnsi="宋体" w:cs="宋体"/>
                <w:color w:val="000000"/>
                <w:sz w:val="24"/>
                <w:highlight w:val="none"/>
                <w:u w:val="single"/>
              </w:rPr>
            </w:pPr>
            <w:r>
              <w:rPr>
                <w:rFonts w:hint="eastAsia" w:ascii="宋体" w:hAnsi="宋体" w:cs="宋体"/>
                <w:color w:val="000000"/>
                <w:sz w:val="24"/>
                <w:highlight w:val="none"/>
                <w:u w:val="none"/>
              </w:rPr>
              <w:t xml:space="preserve">（四）</w:t>
            </w:r>
            <w:r>
              <w:rPr>
                <w:rFonts w:hint="eastAsia" w:ascii="宋体" w:hAnsi="宋体" w:cs="宋体"/>
                <w:color w:val="000000"/>
                <w:sz w:val="24"/>
                <w:highlight w:val="none"/>
                <w:u w:val="none"/>
                <w:lang w:eastAsia="zh-CN"/>
              </w:rPr>
              <w:t xml:space="preserve">投标人</w:t>
            </w:r>
            <w:r>
              <w:rPr>
                <w:rFonts w:hint="eastAsia" w:ascii="宋体" w:hAnsi="宋体" w:cs="宋体"/>
                <w:color w:val="000000"/>
                <w:sz w:val="24"/>
                <w:highlight w:val="none"/>
                <w:u w:val="none"/>
              </w:rPr>
              <w:t xml:space="preserve">责任：</w:t>
            </w:r>
            <w:r>
              <w:rPr>
                <w:rFonts w:hint="eastAsia" w:ascii="宋体" w:hAnsi="宋体" w:cs="宋体"/>
                <w:color w:val="000000"/>
                <w:sz w:val="24"/>
                <w:highlight w:val="none"/>
                <w:u w:val="none"/>
                <w:lang w:eastAsia="zh-CN"/>
              </w:rPr>
              <w:t xml:space="preserve">投标人</w:t>
            </w:r>
            <w:r>
              <w:rPr>
                <w:rFonts w:hint="eastAsia" w:ascii="宋体" w:hAnsi="宋体" w:cs="宋体"/>
                <w:color w:val="000000"/>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000000"/>
                <w:sz w:val="24"/>
                <w:highlight w:val="none"/>
                <w:u w:val="none"/>
                <w:lang w:eastAsia="zh-CN"/>
              </w:rPr>
              <w:t xml:space="preserve">投标人</w:t>
            </w:r>
            <w:r>
              <w:rPr>
                <w:rFonts w:hint="eastAsia" w:ascii="宋体" w:hAnsi="宋体" w:cs="宋体"/>
                <w:color w:val="000000"/>
                <w:sz w:val="24"/>
                <w:highlight w:val="none"/>
                <w:u w:val="none"/>
              </w:rPr>
              <w:t xml:space="preserve">自身原因导致的操作失败，不适用本意外情况处理条款。</w:t>
            </w:r>
            <w:r>
              <w:rPr>
                <w:rFonts w:hint="eastAsia" w:ascii="宋体" w:hAnsi="宋体" w:cs="宋体"/>
                <w:color w:val="000000"/>
                <w:sz w:val="24"/>
                <w:highlight w:val="none"/>
                <w:u w:val="single"/>
              </w:rPr>
            </w:r>
            <w:r/>
          </w:p>
        </w:tc>
      </w:tr>
    </w:tbl>
    <w:p>
      <w:pPr>
        <w:pStyle w:val="1107"/>
        <w:jc w:val="both"/>
        <w:spacing w:line="360" w:lineRule="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br w:type="page" w:clear="all"/>
      </w:r>
      <w:r/>
    </w:p>
    <w:p>
      <w:pPr>
        <w:pStyle w:val="1107"/>
        <w:jc w:val="center"/>
        <w:spacing w:before="240" w:after="240"/>
        <w:rPr>
          <w:b/>
          <w:color w:val="000000"/>
          <w:sz w:val="28"/>
          <w:szCs w:val="28"/>
          <w:highlight w:val="none"/>
        </w:rPr>
        <w:outlineLvl w:val="9"/>
      </w:pPr>
      <w:r/>
      <w:bookmarkStart w:id="70" w:name="_Toc264969207"/>
      <w:r/>
      <w:bookmarkStart w:id="71" w:name="_Toc226965790"/>
      <w:r/>
      <w:bookmarkStart w:id="72" w:name="_Toc150480755"/>
      <w:r/>
      <w:bookmarkStart w:id="73" w:name="_Toc226337213"/>
      <w:r/>
      <w:bookmarkStart w:id="74" w:name="_Toc195842882"/>
      <w:r/>
      <w:bookmarkStart w:id="75" w:name="_Toc150774722"/>
      <w:r/>
      <w:bookmarkStart w:id="76" w:name="_Toc142311019"/>
      <w:r/>
      <w:bookmarkStart w:id="77" w:name="_Toc265228355"/>
      <w:r/>
      <w:bookmarkStart w:id="78" w:name="_Toc353873662"/>
      <w:r/>
      <w:bookmarkStart w:id="79" w:name="_Toc353825542"/>
      <w:r/>
      <w:bookmarkStart w:id="80" w:name="_Toc305158785"/>
      <w:r/>
      <w:bookmarkStart w:id="81" w:name="_Toc127151517"/>
      <w:r/>
      <w:bookmarkStart w:id="82" w:name="_Toc305158859"/>
      <w:r/>
      <w:bookmarkStart w:id="83" w:name="_Toc353873932"/>
      <w:r>
        <w:rPr>
          <w:b/>
          <w:color w:val="000000"/>
          <w:sz w:val="28"/>
          <w:szCs w:val="28"/>
          <w:highlight w:val="none"/>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b/>
          <w:color w:val="000000"/>
          <w:sz w:val="28"/>
          <w:szCs w:val="28"/>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4" w:name="_Toc151193688"/>
      <w:r/>
      <w:bookmarkStart w:id="85" w:name="_Toc151193906"/>
      <w:r/>
      <w:bookmarkStart w:id="86" w:name="_Toc520356143"/>
      <w:r/>
      <w:bookmarkStart w:id="87" w:name="_Toc305158860"/>
      <w:r/>
      <w:bookmarkStart w:id="88" w:name="_Toc151193616"/>
      <w:r/>
      <w:bookmarkStart w:id="89" w:name="_Toc150509269"/>
      <w:r/>
      <w:bookmarkStart w:id="90" w:name="_Toc264969208"/>
      <w:r/>
      <w:bookmarkStart w:id="91" w:name="_Toc226309762"/>
      <w:r/>
      <w:bookmarkStart w:id="92" w:name="_Toc150774723"/>
      <w:r/>
      <w:bookmarkStart w:id="93" w:name="_Toc151190145"/>
      <w:r/>
      <w:bookmarkStart w:id="94" w:name="_Toc151193760"/>
      <w:r/>
      <w:bookmarkStart w:id="95" w:name="_Toc127151518"/>
      <w:r/>
      <w:bookmarkStart w:id="96" w:name="_Toc150774618"/>
      <w:r/>
      <w:bookmarkStart w:id="97" w:name="_Toc226965708"/>
      <w:r/>
      <w:bookmarkStart w:id="98" w:name="_Toc195842883"/>
      <w:r/>
      <w:bookmarkStart w:id="99" w:name="_Toc142311020"/>
      <w:r/>
      <w:bookmarkStart w:id="100" w:name="_Toc226965791"/>
      <w:r/>
      <w:bookmarkStart w:id="101" w:name="_Toc305158786"/>
      <w:r/>
      <w:bookmarkStart w:id="102" w:name="_Toc265228356"/>
      <w:r/>
      <w:bookmarkStart w:id="103" w:name="_Toc226337214"/>
      <w:r/>
      <w:bookmarkStart w:id="104" w:name="_Toc150480756"/>
      <w:r/>
      <w:bookmarkStart w:id="105" w:name="_Toc151193832"/>
      <w:r>
        <w:rPr>
          <w:rFonts w:hint="eastAsia" w:ascii="宋体" w:hAnsi="宋体" w:eastAsia="宋体" w:cs="Times New Roman"/>
          <w:b/>
          <w:bCs/>
          <w:color w:val="000000"/>
          <w:sz w:val="28"/>
          <w:szCs w:val="28"/>
          <w:highlight w:val="none"/>
          <w:lang w:val="en-US" w:eastAsia="zh-CN"/>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Times New Roman"/>
          <w:b/>
          <w:bCs/>
          <w:color w:val="000000"/>
          <w:sz w:val="28"/>
          <w:szCs w:val="28"/>
          <w:highlight w:val="none"/>
          <w:lang w:val="en-US" w:eastAsia="zh-CN"/>
        </w:rPr>
      </w:r>
      <w:r/>
    </w:p>
    <w:p>
      <w:pPr>
        <w:pStyle w:val="110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6" w:name="_Toc305158861"/>
      <w:r/>
      <w:bookmarkStart w:id="107" w:name="_Toc264969209"/>
      <w:r/>
      <w:bookmarkStart w:id="108" w:name="_Toc265228357"/>
      <w:r/>
      <w:bookmarkStart w:id="109" w:name="_Toc305158787"/>
      <w:r>
        <w:rPr>
          <w:rFonts w:hint="eastAsia" w:ascii="宋体" w:hAnsi="宋体" w:eastAsia="宋体" w:cs="宋体"/>
          <w:color w:val="000000"/>
          <w:sz w:val="24"/>
          <w:szCs w:val="24"/>
          <w:highlight w:val="none"/>
        </w:rPr>
        <w:t xml:space="preserve">采购人、采购代理机构、投标人</w:t>
      </w:r>
      <w:bookmarkEnd w:id="106"/>
      <w:r/>
      <w:bookmarkEnd w:id="107"/>
      <w:r/>
      <w:bookmarkEnd w:id="108"/>
      <w:r/>
      <w:bookmarkEnd w:id="109"/>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投标人（也称“供应商”、“申请人”）：指向采购人提供货物、工程或者服务的法人、其他组织或者自然人。</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10" w:name="_Toc151193690"/>
      <w:r/>
      <w:bookmarkStart w:id="111" w:name="_Toc150774725"/>
      <w:r/>
      <w:bookmarkStart w:id="112" w:name="_Toc226965710"/>
      <w:r/>
      <w:bookmarkStart w:id="113" w:name="_Toc142311022"/>
      <w:r/>
      <w:bookmarkStart w:id="114" w:name="_Toc127161434"/>
      <w:r/>
      <w:bookmarkStart w:id="115" w:name="_Toc264969210"/>
      <w:r/>
      <w:bookmarkStart w:id="116" w:name="_Toc151193618"/>
      <w:r/>
      <w:bookmarkStart w:id="117" w:name="_Toc151193834"/>
      <w:r/>
      <w:bookmarkStart w:id="118" w:name="_Toc305158788"/>
      <w:r/>
      <w:bookmarkStart w:id="119" w:name="_Toc127151721"/>
      <w:r/>
      <w:bookmarkStart w:id="120" w:name="_Toc127151520"/>
      <w:r/>
      <w:bookmarkStart w:id="121" w:name="_Toc150509271"/>
      <w:r/>
      <w:bookmarkStart w:id="122" w:name="_Toc150774620"/>
      <w:r/>
      <w:bookmarkStart w:id="123" w:name="_Toc265228358"/>
      <w:r/>
      <w:bookmarkStart w:id="124" w:name="_Toc151193762"/>
      <w:r/>
      <w:bookmarkStart w:id="125" w:name="_Toc164608634"/>
      <w:r/>
      <w:bookmarkStart w:id="126" w:name="_Toc151190147"/>
      <w:r/>
      <w:bookmarkStart w:id="127" w:name="_Toc305158862"/>
      <w:r/>
      <w:bookmarkStart w:id="128" w:name="_Toc164229215"/>
      <w:r/>
      <w:bookmarkStart w:id="129" w:name="_Toc164608789"/>
      <w:r/>
      <w:bookmarkStart w:id="130" w:name="_Toc226337216"/>
      <w:r/>
      <w:bookmarkStart w:id="131" w:name="_Toc226309764"/>
      <w:r/>
      <w:bookmarkStart w:id="132" w:name="_Toc149720813"/>
      <w:r/>
      <w:bookmarkStart w:id="133" w:name="_Toc226965793"/>
      <w:r/>
      <w:bookmarkStart w:id="134" w:name="_Toc164229361"/>
      <w:r/>
      <w:bookmarkStart w:id="135" w:name="_Toc151193908"/>
      <w:r/>
      <w:bookmarkStart w:id="136" w:name="_Toc195842885"/>
      <w:r/>
      <w:bookmarkStart w:id="137" w:name="_Toc164351614"/>
      <w:r/>
      <w:bookmarkStart w:id="138" w:name="_Toc150480758"/>
      <w:r>
        <w:rPr>
          <w:rFonts w:hint="eastAsia" w:ascii="宋体" w:hAnsi="宋体" w:eastAsia="宋体" w:cs="宋体"/>
          <w:color w:val="000000"/>
          <w:sz w:val="24"/>
          <w:szCs w:val="24"/>
          <w:highlight w:val="none"/>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9" w:name="_Toc151193910"/>
      <w:r/>
      <w:bookmarkStart w:id="140" w:name="_Toc150774727"/>
      <w:r/>
      <w:bookmarkStart w:id="141" w:name="_Toc520356146"/>
      <w:r/>
      <w:bookmarkStart w:id="142" w:name="_Toc150509273"/>
      <w:r/>
      <w:bookmarkStart w:id="143" w:name="_Toc226337218"/>
      <w:r/>
      <w:bookmarkStart w:id="144" w:name="_Toc151190149"/>
      <w:r/>
      <w:bookmarkStart w:id="145" w:name="_Toc151193764"/>
      <w:r/>
      <w:bookmarkStart w:id="146" w:name="_Toc226965712"/>
      <w:r/>
      <w:bookmarkStart w:id="147" w:name="_Toc265228360"/>
      <w:r/>
      <w:bookmarkStart w:id="148" w:name="_Toc305158864"/>
      <w:r/>
      <w:bookmarkStart w:id="149" w:name="_Toc151193620"/>
      <w:r/>
      <w:bookmarkStart w:id="150" w:name="_Toc127151522"/>
      <w:r/>
      <w:bookmarkStart w:id="151" w:name="_Toc151193692"/>
      <w:r/>
      <w:bookmarkStart w:id="152" w:name="_Toc151193836"/>
      <w:r/>
      <w:bookmarkStart w:id="153" w:name="_Toc305158790"/>
      <w:r/>
      <w:bookmarkStart w:id="154" w:name="_Toc226965795"/>
      <w:r/>
      <w:bookmarkStart w:id="155" w:name="_Toc150480760"/>
      <w:r/>
      <w:bookmarkStart w:id="156" w:name="_Toc264969212"/>
      <w:r/>
      <w:bookmarkStart w:id="157" w:name="_Toc150774622"/>
      <w:r/>
      <w:bookmarkStart w:id="158" w:name="_Toc226309766"/>
      <w:r/>
      <w:bookmarkStart w:id="159" w:name="_Toc142311024"/>
      <w:r/>
      <w:bookmarkStart w:id="160" w:name="_Toc195842887"/>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21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10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10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10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21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10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110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110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110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110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61" w:name="_1.8_计量单位"/>
      <w:r/>
      <w:bookmarkEnd w:id="161"/>
      <w:r>
        <w:rPr>
          <w:rFonts w:hint="eastAsia" w:ascii="宋体" w:hAnsi="宋体" w:eastAsia="宋体" w:cs="Times New Roman"/>
          <w:b/>
          <w:bCs/>
          <w:color w:val="000000"/>
          <w:sz w:val="28"/>
          <w:szCs w:val="28"/>
          <w:highlight w:val="none"/>
          <w:lang w:val="en-US" w:eastAsia="zh-CN"/>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Times New Roman"/>
          <w:b/>
          <w:bCs/>
          <w:color w:val="000000"/>
          <w:sz w:val="28"/>
          <w:szCs w:val="28"/>
          <w:highlight w:val="none"/>
          <w:lang w:val="en-US" w:eastAsia="zh-CN"/>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2" w:name="_Toc151193911"/>
      <w:r/>
      <w:bookmarkStart w:id="163" w:name="_Toc226309767"/>
      <w:r/>
      <w:bookmarkStart w:id="164" w:name="_Toc195842888"/>
      <w:r/>
      <w:bookmarkStart w:id="165" w:name="_Toc142311025"/>
      <w:r/>
      <w:bookmarkStart w:id="166" w:name="_Toc305158791"/>
      <w:r/>
      <w:bookmarkStart w:id="167" w:name="_Toc164229218"/>
      <w:r/>
      <w:bookmarkStart w:id="168" w:name="_Toc164608792"/>
      <w:r/>
      <w:bookmarkStart w:id="169" w:name="_Toc127151724"/>
      <w:r/>
      <w:bookmarkStart w:id="170" w:name="_Toc520356147"/>
      <w:r/>
      <w:bookmarkStart w:id="171" w:name="_Toc164351617"/>
      <w:r/>
      <w:bookmarkStart w:id="172" w:name="_Toc151193765"/>
      <w:r/>
      <w:bookmarkStart w:id="173" w:name="_Toc151193837"/>
      <w:r/>
      <w:bookmarkStart w:id="174" w:name="_Toc127161437"/>
      <w:r/>
      <w:bookmarkStart w:id="175" w:name="_Toc150509274"/>
      <w:r/>
      <w:bookmarkStart w:id="176" w:name="_Toc264969213"/>
      <w:r/>
      <w:bookmarkStart w:id="177" w:name="_Toc151193621"/>
      <w:r/>
      <w:bookmarkStart w:id="178" w:name="_Toc265228361"/>
      <w:r/>
      <w:bookmarkStart w:id="179" w:name="_Toc150480761"/>
      <w:r/>
      <w:bookmarkStart w:id="180" w:name="_Toc226965796"/>
      <w:r/>
      <w:bookmarkStart w:id="181" w:name="_Toc149720816"/>
      <w:r/>
      <w:bookmarkStart w:id="182" w:name="_Toc151193693"/>
      <w:r/>
      <w:bookmarkStart w:id="183" w:name="_Toc226965713"/>
      <w:r/>
      <w:bookmarkStart w:id="184" w:name="_Toc164608637"/>
      <w:r/>
      <w:bookmarkStart w:id="185" w:name="_Toc151190150"/>
      <w:r/>
      <w:bookmarkStart w:id="186" w:name="_Toc150774623"/>
      <w:r/>
      <w:bookmarkStart w:id="187" w:name="_Toc127151523"/>
      <w:r/>
      <w:bookmarkStart w:id="188" w:name="_Toc150774728"/>
      <w:r/>
      <w:bookmarkStart w:id="189" w:name="_Toc164229364"/>
      <w:r/>
      <w:bookmarkStart w:id="190" w:name="_Toc226337219"/>
      <w:r/>
      <w:bookmarkStart w:id="191" w:name="_Toc305158865"/>
      <w:r>
        <w:rPr>
          <w:rFonts w:hint="eastAsia" w:ascii="宋体" w:hAnsi="宋体" w:eastAsia="宋体" w:cs="宋体"/>
          <w:color w:val="000000"/>
          <w:sz w:val="24"/>
          <w:highlight w:val="none"/>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110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2" w:name="_Toc151193840"/>
      <w:r/>
      <w:bookmarkStart w:id="193" w:name="_Toc142311028"/>
      <w:r/>
      <w:bookmarkStart w:id="194" w:name="_Toc265228364"/>
      <w:r/>
      <w:bookmarkStart w:id="195" w:name="_Toc226965716"/>
      <w:r/>
      <w:bookmarkStart w:id="196" w:name="_Toc150509277"/>
      <w:r/>
      <w:bookmarkStart w:id="197" w:name="_Toc150774731"/>
      <w:r/>
      <w:bookmarkStart w:id="198" w:name="_Toc305158794"/>
      <w:r/>
      <w:bookmarkStart w:id="199" w:name="_Toc195842891"/>
      <w:r/>
      <w:bookmarkStart w:id="200" w:name="_Toc226965799"/>
      <w:r/>
      <w:bookmarkStart w:id="201" w:name="_Toc151190153"/>
      <w:r/>
      <w:bookmarkStart w:id="202" w:name="_Toc151193624"/>
      <w:r/>
      <w:bookmarkStart w:id="203" w:name="_Toc127151526"/>
      <w:r/>
      <w:bookmarkStart w:id="204" w:name="_Toc264969216"/>
      <w:r/>
      <w:bookmarkStart w:id="205" w:name="_Toc516367020"/>
      <w:r/>
      <w:bookmarkStart w:id="206" w:name="_Toc151193914"/>
      <w:r/>
      <w:bookmarkStart w:id="207" w:name="_Toc150774626"/>
      <w:r/>
      <w:bookmarkStart w:id="208" w:name="_Toc226309770"/>
      <w:r/>
      <w:bookmarkStart w:id="209" w:name="_Toc151193696"/>
      <w:r/>
      <w:bookmarkStart w:id="210" w:name="_Toc305158868"/>
      <w:r/>
      <w:bookmarkStart w:id="211" w:name="_Toc151193768"/>
      <w:r/>
      <w:bookmarkStart w:id="212" w:name="_Toc226337222"/>
      <w:r/>
      <w:bookmarkStart w:id="213" w:name="_Toc520356150"/>
      <w:r/>
      <w:bookmarkStart w:id="214" w:name="_Toc150480764"/>
      <w:r>
        <w:rPr>
          <w:rFonts w:hint="eastAsia" w:ascii="宋体" w:hAnsi="宋体" w:eastAsia="宋体" w:cs="Times New Roman"/>
          <w:b/>
          <w:bCs/>
          <w:color w:val="000000"/>
          <w:sz w:val="28"/>
          <w:szCs w:val="28"/>
          <w:highlight w:val="none"/>
          <w:lang w:val="en-US" w:eastAsia="zh-CN"/>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5"/>
      <w:r>
        <w:rPr>
          <w:rFonts w:hint="eastAsia" w:ascii="宋体" w:hAnsi="宋体" w:eastAsia="宋体" w:cs="Times New Roman"/>
          <w:b/>
          <w:bCs/>
          <w:color w:val="000000"/>
          <w:sz w:val="28"/>
          <w:szCs w:val="28"/>
          <w:highlight w:val="none"/>
          <w:lang w:val="en-US" w:eastAsia="zh-CN"/>
        </w:rPr>
        <w:t xml:space="preserve">的编制</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Times New Roman"/>
          <w:b/>
          <w:bCs/>
          <w:color w:val="000000"/>
          <w:sz w:val="28"/>
          <w:szCs w:val="28"/>
          <w:highlight w:val="none"/>
          <w:lang w:val="en-US" w:eastAsia="zh-CN"/>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5" w:name="_Toc516367021"/>
      <w:r/>
      <w:bookmarkStart w:id="216" w:name="_Toc265228365"/>
      <w:r/>
      <w:bookmarkStart w:id="217" w:name="_Toc164229222"/>
      <w:r/>
      <w:bookmarkStart w:id="218" w:name="_Toc305158795"/>
      <w:r/>
      <w:bookmarkStart w:id="219" w:name="_Toc151190154"/>
      <w:r/>
      <w:bookmarkStart w:id="220" w:name="_Toc164608796"/>
      <w:r/>
      <w:bookmarkStart w:id="221" w:name="_Toc127151728"/>
      <w:r/>
      <w:bookmarkStart w:id="222" w:name="_Toc226965800"/>
      <w:r/>
      <w:bookmarkStart w:id="223" w:name="_Toc150509278"/>
      <w:r/>
      <w:bookmarkStart w:id="224" w:name="_Toc151193625"/>
      <w:r/>
      <w:bookmarkStart w:id="225" w:name="_Toc520356151"/>
      <w:r/>
      <w:bookmarkStart w:id="226" w:name="_Toc150774732"/>
      <w:r/>
      <w:bookmarkStart w:id="227" w:name="_Toc149720820"/>
      <w:r/>
      <w:bookmarkStart w:id="228" w:name="_Toc195842892"/>
      <w:r/>
      <w:bookmarkStart w:id="229" w:name="_Toc264969217"/>
      <w:r/>
      <w:bookmarkStart w:id="230" w:name="_Toc164608641"/>
      <w:r/>
      <w:bookmarkStart w:id="231" w:name="_Toc151193769"/>
      <w:r/>
      <w:bookmarkStart w:id="232" w:name="_Toc164229368"/>
      <w:r/>
      <w:bookmarkStart w:id="233" w:name="_Toc151193841"/>
      <w:r/>
      <w:bookmarkStart w:id="234" w:name="_Toc226337223"/>
      <w:r/>
      <w:bookmarkStart w:id="235" w:name="_Toc164351621"/>
      <w:r/>
      <w:bookmarkStart w:id="236" w:name="_Toc142311029"/>
      <w:r/>
      <w:bookmarkStart w:id="237" w:name="_Toc226965717"/>
      <w:r/>
      <w:bookmarkStart w:id="238" w:name="_Toc127151527"/>
      <w:r/>
      <w:bookmarkStart w:id="239" w:name="_Toc305158869"/>
      <w:r/>
      <w:bookmarkStart w:id="240" w:name="_Toc226309771"/>
      <w:r/>
      <w:bookmarkStart w:id="241" w:name="_Toc151193697"/>
      <w:r/>
      <w:bookmarkStart w:id="242" w:name="_Toc151193915"/>
      <w:r/>
      <w:bookmarkStart w:id="243" w:name="_Toc150774627"/>
      <w:r/>
      <w:bookmarkStart w:id="244" w:name="_Toc150480765"/>
      <w:r/>
      <w:bookmarkStart w:id="245" w:name="_Toc127161441"/>
      <w:r>
        <w:rPr>
          <w:rFonts w:hint="eastAsia" w:ascii="宋体" w:hAnsi="宋体" w:eastAsia="宋体" w:cs="宋体"/>
          <w:color w:val="000000"/>
          <w:sz w:val="24"/>
          <w:highlight w:val="none"/>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6" w:name="_Toc226309772"/>
      <w:r/>
      <w:bookmarkStart w:id="247" w:name="_Toc151193842"/>
      <w:r/>
      <w:bookmarkStart w:id="248" w:name="_Toc142311030"/>
      <w:r/>
      <w:bookmarkStart w:id="249" w:name="_Toc150480766"/>
      <w:r/>
      <w:bookmarkStart w:id="250" w:name="_Toc151193698"/>
      <w:r/>
      <w:bookmarkStart w:id="251" w:name="_Toc305158870"/>
      <w:r/>
      <w:bookmarkStart w:id="252" w:name="_Toc127151528"/>
      <w:r/>
      <w:bookmarkStart w:id="253" w:name="_Toc516367022"/>
      <w:r/>
      <w:bookmarkStart w:id="254" w:name="_Ref467306676"/>
      <w:r/>
      <w:bookmarkStart w:id="255" w:name="_Ref467306195"/>
      <w:r/>
      <w:bookmarkStart w:id="256" w:name="_Toc305158796"/>
      <w:r/>
      <w:bookmarkStart w:id="257" w:name="_Toc520356152"/>
      <w:r/>
      <w:bookmarkStart w:id="258" w:name="_Toc164229223"/>
      <w:r/>
      <w:bookmarkStart w:id="259" w:name="_Toc150509279"/>
      <w:r/>
      <w:bookmarkStart w:id="260" w:name="_Toc264969218"/>
      <w:r/>
      <w:bookmarkStart w:id="261" w:name="_Toc149720821"/>
      <w:r/>
      <w:bookmarkStart w:id="262" w:name="_Toc226965718"/>
      <w:r/>
      <w:bookmarkStart w:id="263" w:name="_Toc164351622"/>
      <w:r/>
      <w:bookmarkStart w:id="264" w:name="_Toc164608642"/>
      <w:r/>
      <w:bookmarkStart w:id="265" w:name="_Toc164608797"/>
      <w:r/>
      <w:bookmarkStart w:id="266" w:name="_Toc195842893"/>
      <w:r/>
      <w:bookmarkStart w:id="267" w:name="_Toc151193626"/>
      <w:r/>
      <w:bookmarkStart w:id="268" w:name="_Toc127161442"/>
      <w:r/>
      <w:bookmarkStart w:id="269" w:name="_Toc164229369"/>
      <w:r/>
      <w:bookmarkStart w:id="270" w:name="_Toc226337224"/>
      <w:r/>
      <w:bookmarkStart w:id="271" w:name="_Toc127151729"/>
      <w:r/>
      <w:bookmarkStart w:id="272" w:name="_Toc265228366"/>
      <w:r/>
      <w:bookmarkStart w:id="273" w:name="_Toc150774628"/>
      <w:r/>
      <w:bookmarkStart w:id="274" w:name="_Toc151193770"/>
      <w:r/>
      <w:bookmarkStart w:id="275" w:name="_Toc151190155"/>
      <w:r/>
      <w:bookmarkStart w:id="276" w:name="_Toc150774733"/>
      <w:r/>
      <w:bookmarkStart w:id="277" w:name="_Toc226965801"/>
      <w:r/>
      <w:bookmarkStart w:id="278" w:name="_Toc151193916"/>
      <w:r>
        <w:rPr>
          <w:rFonts w:hint="eastAsia" w:ascii="宋体" w:hAnsi="宋体" w:eastAsia="宋体" w:cs="宋体"/>
          <w:color w:val="000000"/>
          <w:sz w:val="24"/>
          <w:highlight w:val="none"/>
        </w:rPr>
        <w:t xml:space="preserve">投标文件</w:t>
      </w:r>
      <w:bookmarkEnd w:id="253"/>
      <w:r/>
      <w:bookmarkEnd w:id="254"/>
      <w:r/>
      <w:bookmarkEnd w:id="255"/>
      <w:r>
        <w:rPr>
          <w:rFonts w:hint="eastAsia" w:ascii="宋体" w:hAnsi="宋体" w:eastAsia="宋体" w:cs="宋体"/>
          <w:color w:val="000000"/>
          <w:sz w:val="24"/>
          <w:highlight w:val="none"/>
        </w:rPr>
        <w:t xml:space="preserve">构成</w:t>
      </w:r>
      <w:bookmarkEnd w:id="246"/>
      <w:r/>
      <w:bookmarkEnd w:id="247"/>
      <w:r/>
      <w:bookmarkEnd w:id="248"/>
      <w:r/>
      <w:bookmarkEnd w:id="249"/>
      <w:r/>
      <w:bookmarkEnd w:id="250"/>
      <w:r/>
      <w:bookmarkEnd w:id="251"/>
      <w:r/>
      <w:bookmarkEnd w:id="252"/>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9"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9"/>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0" w:name="_Toc164608799"/>
      <w:r/>
      <w:bookmarkStart w:id="281" w:name="_Toc164608644"/>
      <w:r/>
      <w:bookmarkStart w:id="282" w:name="_Toc164229225"/>
      <w:r/>
      <w:bookmarkStart w:id="283" w:name="_Toc151190157"/>
      <w:r/>
      <w:bookmarkStart w:id="284" w:name="_Toc127161444"/>
      <w:r/>
      <w:bookmarkStart w:id="285" w:name="_Toc150480768"/>
      <w:r/>
      <w:bookmarkStart w:id="286" w:name="_Toc151193844"/>
      <w:r/>
      <w:bookmarkStart w:id="287" w:name="_Toc127151731"/>
      <w:r/>
      <w:bookmarkStart w:id="288" w:name="_Toc151193700"/>
      <w:r/>
      <w:bookmarkStart w:id="289" w:name="_Toc150509281"/>
      <w:r/>
      <w:bookmarkStart w:id="290" w:name="_Toc142311032"/>
      <w:r/>
      <w:bookmarkStart w:id="291" w:name="_Toc164229371"/>
      <w:r/>
      <w:bookmarkStart w:id="292" w:name="_Toc151193628"/>
      <w:r/>
      <w:bookmarkStart w:id="293" w:name="_Toc150774735"/>
      <w:r/>
      <w:bookmarkStart w:id="294" w:name="_Toc195842895"/>
      <w:r/>
      <w:bookmarkStart w:id="295" w:name="_Toc127151530"/>
      <w:r/>
      <w:bookmarkStart w:id="296" w:name="_Toc150774630"/>
      <w:r/>
      <w:bookmarkStart w:id="297" w:name="_Toc520356155"/>
      <w:r/>
      <w:bookmarkStart w:id="298" w:name="_Toc149720823"/>
      <w:r/>
      <w:bookmarkStart w:id="299" w:name="_Toc151193772"/>
      <w:r/>
      <w:bookmarkStart w:id="300" w:name="_Toc164351624"/>
      <w:r/>
      <w:bookmarkStart w:id="301" w:name="_Toc151193918"/>
      <w:r>
        <w:rPr>
          <w:rFonts w:hint="eastAsia" w:ascii="宋体" w:hAnsi="宋体" w:eastAsia="宋体" w:cs="宋体"/>
          <w:color w:val="000000"/>
          <w:sz w:val="24"/>
          <w:highlight w:val="none"/>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按照招标文件要求完成本项目的全部相关服务费用。 </w:t>
      </w:r>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110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2" w:name="_Toc151193773"/>
      <w:r/>
      <w:bookmarkStart w:id="303" w:name="_Toc151193845"/>
      <w:r/>
      <w:bookmarkStart w:id="304" w:name="_Toc127151531"/>
      <w:r/>
      <w:bookmarkStart w:id="305" w:name="_Toc226965804"/>
      <w:r/>
      <w:bookmarkStart w:id="306" w:name="_Toc151193701"/>
      <w:r/>
      <w:bookmarkStart w:id="307" w:name="_Ref467306513"/>
      <w:r/>
      <w:bookmarkStart w:id="308" w:name="_Toc151193919"/>
      <w:r/>
      <w:bookmarkStart w:id="309" w:name="_Toc151190158"/>
      <w:r/>
      <w:bookmarkStart w:id="310" w:name="_Toc226337227"/>
      <w:r/>
      <w:bookmarkStart w:id="311" w:name="_Toc150509282"/>
      <w:r/>
      <w:bookmarkStart w:id="312" w:name="_Toc127151732"/>
      <w:r/>
      <w:bookmarkStart w:id="313" w:name="_Toc151193629"/>
      <w:r/>
      <w:bookmarkStart w:id="314" w:name="_Toc164229372"/>
      <w:r/>
      <w:bookmarkStart w:id="315" w:name="_Toc195842896"/>
      <w:r/>
      <w:bookmarkStart w:id="316" w:name="_Toc226965721"/>
      <w:r/>
      <w:bookmarkStart w:id="317" w:name="_Toc164229226"/>
      <w:r/>
      <w:bookmarkStart w:id="318" w:name="_Toc264969221"/>
      <w:r/>
      <w:bookmarkStart w:id="319" w:name="_Toc142311033"/>
      <w:r/>
      <w:bookmarkStart w:id="320" w:name="_Toc265228369"/>
      <w:r/>
      <w:bookmarkStart w:id="321" w:name="_Toc150480769"/>
      <w:r/>
      <w:bookmarkStart w:id="322" w:name="_Toc149720824"/>
      <w:r/>
      <w:bookmarkStart w:id="323" w:name="_Toc164608645"/>
      <w:r/>
      <w:bookmarkStart w:id="324" w:name="_Toc305158799"/>
      <w:r/>
      <w:bookmarkStart w:id="325" w:name="_Toc164351625"/>
      <w:r/>
      <w:bookmarkStart w:id="326" w:name="_Toc520356156"/>
      <w:r/>
      <w:bookmarkStart w:id="327" w:name="_Toc305158873"/>
      <w:r/>
      <w:bookmarkStart w:id="328" w:name="_Toc150774736"/>
      <w:r/>
      <w:bookmarkStart w:id="329" w:name="_Toc164608800"/>
      <w:r/>
      <w:bookmarkStart w:id="330" w:name="_Toc150774631"/>
      <w:r/>
      <w:bookmarkStart w:id="331" w:name="_Toc127161445"/>
      <w:r/>
      <w:bookmarkStart w:id="332" w:name="_Toc226309775"/>
      <w:r>
        <w:rPr>
          <w:rFonts w:hint="eastAsia" w:ascii="宋体" w:hAnsi="宋体" w:eastAsia="宋体" w:cs="宋体"/>
          <w:color w:val="000000"/>
          <w:sz w:val="24"/>
          <w:highlight w:val="none"/>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eastAsia="宋体" w:cs="宋体"/>
          <w:color w:val="000000"/>
          <w:sz w:val="24"/>
          <w:highlight w:val="none"/>
        </w:rPr>
      </w:r>
      <w:r/>
    </w:p>
    <w:p>
      <w:pPr>
        <w:pStyle w:val="1107"/>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3" w:name="_Toc164229373"/>
      <w:r/>
      <w:bookmarkStart w:id="334" w:name="_Toc150774632"/>
      <w:r/>
      <w:bookmarkStart w:id="335" w:name="_Toc226337228"/>
      <w:r/>
      <w:bookmarkStart w:id="336" w:name="_Toc305158800"/>
      <w:r/>
      <w:bookmarkStart w:id="337" w:name="_Toc164229227"/>
      <w:r/>
      <w:bookmarkStart w:id="338" w:name="_Toc151193920"/>
      <w:r/>
      <w:bookmarkStart w:id="339" w:name="_Toc164351626"/>
      <w:r/>
      <w:bookmarkStart w:id="340" w:name="_Toc226309776"/>
      <w:r/>
      <w:bookmarkStart w:id="341" w:name="_Toc264969222"/>
      <w:r/>
      <w:bookmarkStart w:id="342" w:name="_Toc164608646"/>
      <w:r/>
      <w:bookmarkStart w:id="343" w:name="_Toc127151733"/>
      <w:r/>
      <w:bookmarkStart w:id="344" w:name="_Toc151193774"/>
      <w:r/>
      <w:bookmarkStart w:id="345" w:name="_Toc305158874"/>
      <w:r/>
      <w:bookmarkStart w:id="346" w:name="_Toc142311034"/>
      <w:r/>
      <w:bookmarkStart w:id="347" w:name="_Toc151193846"/>
      <w:r/>
      <w:bookmarkStart w:id="348" w:name="_Toc149720825"/>
      <w:r/>
      <w:bookmarkStart w:id="349" w:name="_Toc151193630"/>
      <w:r/>
      <w:bookmarkStart w:id="350" w:name="_Toc127151532"/>
      <w:r/>
      <w:bookmarkStart w:id="351" w:name="_Toc150509283"/>
      <w:r/>
      <w:bookmarkStart w:id="352" w:name="_Toc164608801"/>
      <w:r/>
      <w:bookmarkStart w:id="353" w:name="_Toc151190159"/>
      <w:r/>
      <w:bookmarkStart w:id="354" w:name="_Toc520356157"/>
      <w:r/>
      <w:bookmarkStart w:id="355" w:name="_Toc127161446"/>
      <w:r/>
      <w:bookmarkStart w:id="356" w:name="_Toc226965722"/>
      <w:r/>
      <w:bookmarkStart w:id="357" w:name="_Toc150480770"/>
      <w:r/>
      <w:bookmarkStart w:id="358" w:name="_Toc150774737"/>
      <w:r/>
      <w:bookmarkStart w:id="359" w:name="_Toc265228370"/>
      <w:r/>
      <w:bookmarkStart w:id="360" w:name="_Toc151193702"/>
      <w:r/>
      <w:bookmarkStart w:id="361" w:name="_Toc195842897"/>
      <w:r/>
      <w:bookmarkStart w:id="362" w:name="_Toc226965805"/>
      <w:r>
        <w:rPr>
          <w:rFonts w:hint="eastAsia" w:ascii="宋体" w:hAnsi="宋体" w:eastAsia="宋体" w:cs="宋体"/>
          <w:color w:val="000000"/>
          <w:sz w:val="24"/>
          <w:highlight w:val="none"/>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eastAsia="宋体" w:cs="宋体"/>
          <w:color w:val="000000"/>
          <w:sz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3" w:name="_Toc164608802"/>
      <w:r/>
      <w:bookmarkStart w:id="364" w:name="_Toc151193847"/>
      <w:r/>
      <w:bookmarkStart w:id="365" w:name="_Toc151193631"/>
      <w:r/>
      <w:bookmarkStart w:id="366" w:name="_Toc150774738"/>
      <w:r/>
      <w:bookmarkStart w:id="367" w:name="_Toc151193922"/>
      <w:r/>
      <w:bookmarkStart w:id="368" w:name="_Toc520356159"/>
      <w:r/>
      <w:bookmarkStart w:id="369" w:name="_Toc226965724"/>
      <w:r/>
      <w:bookmarkStart w:id="370" w:name="_Toc226965807"/>
      <w:r/>
      <w:bookmarkStart w:id="371" w:name="_Toc151193848"/>
      <w:r/>
      <w:bookmarkStart w:id="372" w:name="_Toc151193632"/>
      <w:r/>
      <w:bookmarkStart w:id="373" w:name="_Toc305158802"/>
      <w:r/>
      <w:bookmarkStart w:id="374" w:name="_Toc226337230"/>
      <w:r/>
      <w:bookmarkStart w:id="375" w:name="_Toc226309778"/>
      <w:r/>
      <w:bookmarkStart w:id="376" w:name="_Toc142311036"/>
      <w:r/>
      <w:bookmarkStart w:id="377" w:name="_Toc264969224"/>
      <w:r/>
      <w:bookmarkStart w:id="378" w:name="_Toc150509285"/>
      <w:r/>
      <w:bookmarkStart w:id="379" w:name="_Toc150774634"/>
      <w:r/>
      <w:bookmarkStart w:id="380" w:name="_Toc150480772"/>
      <w:r/>
      <w:bookmarkStart w:id="381" w:name="_Toc151193776"/>
      <w:r/>
      <w:bookmarkStart w:id="382" w:name="_Toc151193704"/>
      <w:r/>
      <w:bookmarkStart w:id="383" w:name="_Toc151190161"/>
      <w:r/>
      <w:bookmarkStart w:id="384" w:name="_Toc195842899"/>
      <w:r/>
      <w:bookmarkStart w:id="385" w:name="_Toc265228372"/>
      <w:r/>
      <w:bookmarkStart w:id="386" w:name="_Toc150774739"/>
      <w:r/>
      <w:bookmarkStart w:id="387" w:name="_Toc305158876"/>
      <w:r/>
      <w:bookmarkStart w:id="388" w:name="_Toc127151534"/>
      <w:r/>
      <w:bookmarkStart w:id="389" w:name="_Toc149720826"/>
      <w:r/>
      <w:bookmarkStart w:id="390" w:name="_Toc264969223"/>
      <w:r/>
      <w:bookmarkStart w:id="391" w:name="_Toc150480771"/>
      <w:r/>
      <w:bookmarkStart w:id="392" w:name="_Toc226309777"/>
      <w:r/>
      <w:bookmarkStart w:id="393" w:name="_Toc142311035"/>
      <w:r/>
      <w:bookmarkStart w:id="394" w:name="_Toc226337229"/>
      <w:r/>
      <w:bookmarkStart w:id="395" w:name="_Toc151193775"/>
      <w:r/>
      <w:bookmarkStart w:id="396" w:name="_Toc265228371"/>
      <w:r/>
      <w:bookmarkStart w:id="397" w:name="_Toc151190160"/>
      <w:r/>
      <w:bookmarkStart w:id="398" w:name="_Toc151193703"/>
      <w:r/>
      <w:bookmarkStart w:id="399" w:name="_Toc226965723"/>
      <w:r/>
      <w:bookmarkStart w:id="400" w:name="_Toc164351627"/>
      <w:r/>
      <w:bookmarkStart w:id="401" w:name="_Toc151193921"/>
      <w:r/>
      <w:bookmarkStart w:id="402" w:name="_Toc127161447"/>
      <w:r/>
      <w:bookmarkStart w:id="403" w:name="_Toc164608647"/>
      <w:r/>
      <w:bookmarkStart w:id="404" w:name="_Toc164229374"/>
      <w:r/>
      <w:bookmarkStart w:id="405" w:name="_Toc520356158"/>
      <w:r/>
      <w:bookmarkStart w:id="406" w:name="_Toc127151734"/>
      <w:r/>
      <w:bookmarkStart w:id="407" w:name="_Toc150774633"/>
      <w:r/>
      <w:bookmarkStart w:id="408" w:name="_Toc164229228"/>
      <w:r/>
      <w:bookmarkStart w:id="409" w:name="_Toc150509284"/>
      <w:r/>
      <w:bookmarkStart w:id="410" w:name="_Toc305158875"/>
      <w:r/>
      <w:bookmarkStart w:id="411" w:name="_Toc127151533"/>
      <w:r/>
      <w:bookmarkStart w:id="412" w:name="_Toc305158801"/>
      <w:r/>
      <w:bookmarkStart w:id="413" w:name="_Toc226965806"/>
      <w:r/>
      <w:bookmarkStart w:id="414" w:name="_Toc195842898"/>
      <w:r>
        <w:rPr>
          <w:color w:val="000000"/>
          <w:sz w:val="24"/>
          <w:highlight w:val="none"/>
        </w:rPr>
        <w:t xml:space="preserve">投标文件的签署</w:t>
      </w:r>
      <w:bookmarkEnd w:id="363"/>
      <w:r/>
      <w:bookmarkEnd w:id="364"/>
      <w:r/>
      <w:bookmarkEnd w:id="365"/>
      <w:r/>
      <w:bookmarkEnd w:id="366"/>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color w:val="000000"/>
          <w:sz w:val="24"/>
          <w:highlight w:val="none"/>
        </w:rPr>
        <w:t xml:space="preserve">、加盖公章</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109"/>
        <w:spacing w:before="0" w:line="360" w:lineRule="auto"/>
        <w:rPr>
          <w:rFonts w:ascii="Times New Roman" w:hAnsi="Times New Roman" w:eastAsia="宋体"/>
          <w:color w:val="000000"/>
          <w:sz w:val="28"/>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415" w:name="_Toc520356169"/>
      <w:r>
        <w:rPr>
          <w:rFonts w:ascii="Times New Roman" w:hAnsi="Times New Roman" w:eastAsia="宋体"/>
          <w:color w:val="000000"/>
          <w:sz w:val="28"/>
          <w:highlight w:val="none"/>
        </w:rPr>
        <w:t xml:space="preserve">四   投标文件的提交</w:t>
      </w:r>
      <w:r>
        <w:rPr>
          <w:rFonts w:ascii="Times New Roman" w:hAnsi="Times New Roman" w:eastAsia="宋体"/>
          <w:color w:val="000000"/>
          <w:sz w:val="28"/>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50509286"/>
      <w:r/>
      <w:bookmarkStart w:id="417" w:name="_Toc149720828"/>
      <w:r/>
      <w:bookmarkStart w:id="418" w:name="_Toc265228373"/>
      <w:r/>
      <w:bookmarkStart w:id="419" w:name="_Toc164229230"/>
      <w:r/>
      <w:bookmarkStart w:id="420" w:name="_Toc164608804"/>
      <w:r/>
      <w:bookmarkStart w:id="421" w:name="_Toc226309779"/>
      <w:r/>
      <w:bookmarkStart w:id="422" w:name="_Toc151193633"/>
      <w:r/>
      <w:bookmarkStart w:id="423" w:name="_Toc151193923"/>
      <w:r/>
      <w:bookmarkStart w:id="424" w:name="_Toc150774635"/>
      <w:r/>
      <w:bookmarkStart w:id="425" w:name="_Toc264969225"/>
      <w:r/>
      <w:bookmarkStart w:id="426" w:name="_Toc226965725"/>
      <w:r/>
      <w:bookmarkStart w:id="427" w:name="_Toc164229376"/>
      <w:r/>
      <w:bookmarkStart w:id="428" w:name="_Toc520356160"/>
      <w:r/>
      <w:bookmarkStart w:id="429" w:name="_Toc151193705"/>
      <w:r/>
      <w:bookmarkStart w:id="430" w:name="_Toc150774740"/>
      <w:r/>
      <w:bookmarkStart w:id="431" w:name="_Toc127151535"/>
      <w:r/>
      <w:bookmarkStart w:id="432" w:name="_Toc195842900"/>
      <w:r/>
      <w:bookmarkStart w:id="433" w:name="_Toc151193849"/>
      <w:r/>
      <w:bookmarkStart w:id="434" w:name="_Toc164351629"/>
      <w:r/>
      <w:bookmarkStart w:id="435" w:name="_Toc150480773"/>
      <w:r/>
      <w:bookmarkStart w:id="436" w:name="_Toc142311037"/>
      <w:r/>
      <w:bookmarkStart w:id="437" w:name="_Toc151193777"/>
      <w:r/>
      <w:bookmarkStart w:id="438" w:name="_Toc226337231"/>
      <w:r/>
      <w:bookmarkStart w:id="439" w:name="_Toc151190162"/>
      <w:r/>
      <w:bookmarkStart w:id="440" w:name="_Toc226965808"/>
      <w:r/>
      <w:bookmarkStart w:id="441" w:name="_Toc127161449"/>
      <w:r/>
      <w:bookmarkStart w:id="442" w:name="_Toc164608649"/>
      <w:r/>
      <w:bookmarkStart w:id="443" w:name="_Toc127151736"/>
      <w:r/>
      <w:bookmarkStart w:id="444" w:name="_Toc305158877"/>
      <w:r/>
      <w:bookmarkStart w:id="445" w:name="_Toc305158803"/>
      <w:r>
        <w:rPr>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t xml:space="preserve">提交</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color w:val="000000"/>
          <w:sz w:val="24"/>
          <w:highlight w:val="none"/>
        </w:rPr>
        <w:t xml:space="preserve">供应商操作手册要求编制、生成并提交电子投标文件。</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46" w:name="_Toc150509287"/>
      <w:r/>
      <w:bookmarkStart w:id="447" w:name="_Toc226965726"/>
      <w:r/>
      <w:bookmarkStart w:id="448" w:name="_Toc164608650"/>
      <w:r/>
      <w:bookmarkStart w:id="449" w:name="_Toc164229231"/>
      <w:r/>
      <w:bookmarkStart w:id="450" w:name="_Toc305158878"/>
      <w:r/>
      <w:bookmarkStart w:id="451" w:name="_Toc305158804"/>
      <w:r/>
      <w:bookmarkStart w:id="452" w:name="_Toc151190163"/>
      <w:r/>
      <w:bookmarkStart w:id="453" w:name="_Toc150480774"/>
      <w:r/>
      <w:bookmarkStart w:id="454" w:name="_Toc127151737"/>
      <w:r/>
      <w:bookmarkStart w:id="455" w:name="_Toc226337232"/>
      <w:r/>
      <w:bookmarkStart w:id="456" w:name="_Toc149720829"/>
      <w:r/>
      <w:bookmarkStart w:id="457" w:name="_Toc264969226"/>
      <w:r/>
      <w:bookmarkStart w:id="458" w:name="_Toc151193850"/>
      <w:r/>
      <w:bookmarkStart w:id="459" w:name="_Toc151193706"/>
      <w:r/>
      <w:bookmarkStart w:id="460" w:name="_Toc142311038"/>
      <w:r/>
      <w:bookmarkStart w:id="461" w:name="_Toc164229377"/>
      <w:r/>
      <w:bookmarkStart w:id="462" w:name="_Toc151193778"/>
      <w:r/>
      <w:bookmarkStart w:id="463" w:name="_Toc226309780"/>
      <w:r/>
      <w:bookmarkStart w:id="464" w:name="_Toc150774741"/>
      <w:r/>
      <w:bookmarkStart w:id="465" w:name="_Toc265228374"/>
      <w:r/>
      <w:bookmarkStart w:id="466" w:name="_Toc127161450"/>
      <w:r/>
      <w:bookmarkStart w:id="467" w:name="_Toc226965809"/>
      <w:r/>
      <w:bookmarkStart w:id="468" w:name="_Toc151193924"/>
      <w:r/>
      <w:bookmarkStart w:id="469" w:name="_Toc164608805"/>
      <w:r/>
      <w:bookmarkStart w:id="470" w:name="_Toc151193634"/>
      <w:r/>
      <w:bookmarkStart w:id="471" w:name="_Toc164351630"/>
      <w:r/>
      <w:bookmarkStart w:id="472" w:name="_Toc195842901"/>
      <w:r/>
      <w:bookmarkStart w:id="473" w:name="_Toc127151536"/>
      <w:r/>
      <w:bookmarkStart w:id="474" w:name="_Toc520356161"/>
      <w:r/>
      <w:bookmarkStart w:id="475" w:name="_Toc150774636"/>
      <w:r>
        <w:rPr>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000000"/>
          <w:sz w:val="24"/>
          <w:highlight w:val="none"/>
        </w:rPr>
        <w:t xml:space="preserve">时间</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76" w:name="_Toc305158805"/>
      <w:r/>
      <w:bookmarkStart w:id="477" w:name="_Toc151193707"/>
      <w:r/>
      <w:bookmarkStart w:id="478" w:name="_Toc151193635"/>
      <w:r/>
      <w:bookmarkStart w:id="479" w:name="_Toc520356162"/>
      <w:r/>
      <w:bookmarkStart w:id="480" w:name="_Toc149720830"/>
      <w:r/>
      <w:bookmarkStart w:id="481" w:name="_Toc150480775"/>
      <w:r/>
      <w:bookmarkStart w:id="482" w:name="_Toc151193779"/>
      <w:r/>
      <w:bookmarkStart w:id="483" w:name="_Toc127161451"/>
      <w:r/>
      <w:bookmarkStart w:id="484" w:name="_Toc150774637"/>
      <w:r/>
      <w:bookmarkStart w:id="485" w:name="_Toc226337233"/>
      <w:r/>
      <w:bookmarkStart w:id="486" w:name="_Toc305158879"/>
      <w:r/>
      <w:bookmarkStart w:id="487" w:name="_Toc195842902"/>
      <w:r/>
      <w:bookmarkStart w:id="488" w:name="_Toc164229378"/>
      <w:r/>
      <w:bookmarkStart w:id="489" w:name="_Toc151193851"/>
      <w:r/>
      <w:bookmarkStart w:id="490" w:name="_Toc127151738"/>
      <w:r/>
      <w:bookmarkStart w:id="491" w:name="_Toc226965727"/>
      <w:r/>
      <w:bookmarkStart w:id="492" w:name="_Toc127151537"/>
      <w:r/>
      <w:bookmarkStart w:id="493" w:name="_Toc164229232"/>
      <w:r/>
      <w:bookmarkStart w:id="494" w:name="_Toc164608806"/>
      <w:r/>
      <w:bookmarkStart w:id="495" w:name="_Toc151193925"/>
      <w:r/>
      <w:bookmarkStart w:id="496" w:name="_Toc164351631"/>
      <w:r/>
      <w:bookmarkStart w:id="497" w:name="_Toc264969227"/>
      <w:r/>
      <w:bookmarkStart w:id="498" w:name="_Toc142311039"/>
      <w:r/>
      <w:bookmarkStart w:id="499" w:name="_Toc265228375"/>
      <w:r/>
      <w:bookmarkStart w:id="500" w:name="_Toc151190164"/>
      <w:r/>
      <w:bookmarkStart w:id="501" w:name="_Toc164608651"/>
      <w:r/>
      <w:bookmarkStart w:id="502" w:name="_Toc150509288"/>
      <w:r/>
      <w:bookmarkStart w:id="503" w:name="_Toc226309781"/>
      <w:r/>
      <w:bookmarkStart w:id="504" w:name="_Toc150774742"/>
      <w:r/>
      <w:bookmarkStart w:id="505" w:name="_Toc226965810"/>
      <w:r>
        <w:rPr>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1107"/>
        <w:spacing w:line="360" w:lineRule="auto"/>
        <w:rPr>
          <w:color w:val="000000"/>
          <w:sz w:val="24"/>
          <w:highlight w:val="none"/>
        </w:rPr>
      </w:pPr>
      <w:r>
        <w:rPr>
          <w:color w:val="000000"/>
          <w:sz w:val="24"/>
          <w:highlight w:val="none"/>
        </w:rPr>
      </w:r>
      <w:r/>
    </w:p>
    <w:p>
      <w:pPr>
        <w:pStyle w:val="1109"/>
        <w:spacing w:before="0" w:line="360" w:lineRule="auto"/>
        <w:rPr>
          <w:rFonts w:ascii="Times New Roman" w:hAnsi="Times New Roman" w:eastAsia="宋体"/>
          <w:color w:val="000000"/>
          <w:sz w:val="28"/>
          <w:highlight w:val="none"/>
        </w:rPr>
      </w:pPr>
      <w:r/>
      <w:bookmarkStart w:id="506" w:name="_Toc151193636"/>
      <w:r/>
      <w:bookmarkStart w:id="507" w:name="_Toc150480776"/>
      <w:r/>
      <w:bookmarkStart w:id="508" w:name="_Toc151193926"/>
      <w:r/>
      <w:bookmarkStart w:id="509" w:name="_Toc195842903"/>
      <w:r/>
      <w:bookmarkStart w:id="510" w:name="_Toc226965811"/>
      <w:r/>
      <w:bookmarkStart w:id="511" w:name="_Toc520356163"/>
      <w:r/>
      <w:bookmarkStart w:id="512" w:name="_Toc305158806"/>
      <w:r/>
      <w:bookmarkStart w:id="513" w:name="_Toc150774638"/>
      <w:r/>
      <w:bookmarkStart w:id="514" w:name="_Toc265228376"/>
      <w:r/>
      <w:bookmarkStart w:id="515" w:name="_Toc151193780"/>
      <w:r/>
      <w:bookmarkStart w:id="516" w:name="_Toc151193708"/>
      <w:r/>
      <w:bookmarkStart w:id="517" w:name="_Toc150509289"/>
      <w:r/>
      <w:bookmarkStart w:id="518" w:name="_Toc264969228"/>
      <w:r/>
      <w:bookmarkStart w:id="519" w:name="_Toc142311040"/>
      <w:r/>
      <w:bookmarkStart w:id="520" w:name="_Toc127151538"/>
      <w:r/>
      <w:bookmarkStart w:id="521" w:name="_Toc151190165"/>
      <w:r/>
      <w:bookmarkStart w:id="522" w:name="_Toc226309782"/>
      <w:r/>
      <w:bookmarkStart w:id="523" w:name="_Toc305158880"/>
      <w:r/>
      <w:bookmarkStart w:id="524" w:name="_Toc226337234"/>
      <w:r/>
      <w:bookmarkStart w:id="525" w:name="_Toc151193852"/>
      <w:r/>
      <w:bookmarkStart w:id="526" w:name="_Toc150774743"/>
      <w:r/>
      <w:bookmarkStart w:id="527" w:name="_Toc226965728"/>
      <w:r>
        <w:rPr>
          <w:rFonts w:ascii="Times New Roman" w:hAnsi="Times New Roman" w:eastAsia="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color w:val="000000"/>
          <w:sz w:val="28"/>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28" w:name="_Toc151193927"/>
      <w:r/>
      <w:bookmarkStart w:id="529" w:name="_Toc151193637"/>
      <w:r/>
      <w:bookmarkStart w:id="530" w:name="_Toc150774639"/>
      <w:r/>
      <w:bookmarkStart w:id="531" w:name="_Toc164608653"/>
      <w:r/>
      <w:bookmarkStart w:id="532" w:name="_Toc226965812"/>
      <w:r/>
      <w:bookmarkStart w:id="533" w:name="_Toc127151740"/>
      <w:r/>
      <w:bookmarkStart w:id="534" w:name="_Toc127151539"/>
      <w:r/>
      <w:bookmarkStart w:id="535" w:name="_Toc151193781"/>
      <w:r/>
      <w:bookmarkStart w:id="536" w:name="_Toc226309783"/>
      <w:r/>
      <w:bookmarkStart w:id="537" w:name="_Toc151193709"/>
      <w:r/>
      <w:bookmarkStart w:id="538" w:name="_Toc142311041"/>
      <w:r/>
      <w:bookmarkStart w:id="539" w:name="_Toc164351633"/>
      <w:r/>
      <w:bookmarkStart w:id="540" w:name="_Toc164229380"/>
      <w:r/>
      <w:bookmarkStart w:id="541" w:name="_Toc305158881"/>
      <w:r/>
      <w:bookmarkStart w:id="542" w:name="_Toc305158807"/>
      <w:r/>
      <w:bookmarkStart w:id="543" w:name="_Toc195842904"/>
      <w:r/>
      <w:bookmarkStart w:id="544" w:name="_Toc164229234"/>
      <w:r/>
      <w:bookmarkStart w:id="545" w:name="_Toc150774744"/>
      <w:r/>
      <w:bookmarkStart w:id="546" w:name="_Toc151193853"/>
      <w:r/>
      <w:bookmarkStart w:id="547" w:name="_Toc520356164"/>
      <w:r/>
      <w:bookmarkStart w:id="548" w:name="_Toc264969229"/>
      <w:r/>
      <w:bookmarkStart w:id="549" w:name="_Toc226337235"/>
      <w:r/>
      <w:bookmarkStart w:id="550" w:name="_Toc265228377"/>
      <w:r/>
      <w:bookmarkStart w:id="551" w:name="_Toc150480777"/>
      <w:r/>
      <w:bookmarkStart w:id="552" w:name="_Toc127161453"/>
      <w:r/>
      <w:bookmarkStart w:id="553" w:name="_Toc151190166"/>
      <w:r/>
      <w:bookmarkStart w:id="554" w:name="_Toc164608808"/>
      <w:r/>
      <w:bookmarkStart w:id="555" w:name="_Toc149720832"/>
      <w:r/>
      <w:bookmarkStart w:id="556" w:name="_Toc226965729"/>
      <w:r/>
      <w:bookmarkStart w:id="557" w:name="_Toc150509290"/>
      <w:r>
        <w:rPr>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58"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w:t>
      </w:r>
      <w:r>
        <w:rPr>
          <w:rFonts w:hint="eastAsia"/>
          <w:color w:val="000000"/>
          <w:sz w:val="24"/>
          <w:highlight w:val="none"/>
          <w:lang w:eastAsia="zh-CN"/>
        </w:rPr>
        <w:t xml:space="preserve">评标委员会</w:t>
      </w:r>
      <w:r>
        <w:rPr>
          <w:rFonts w:hint="eastAsia"/>
          <w:color w:val="000000"/>
          <w:sz w:val="24"/>
          <w:highlight w:val="none"/>
        </w:rPr>
        <w:t xml:space="preserve">发出的指令和要求进行响应操作。如果因为无人值守造成不能及时回应系统或者</w:t>
      </w:r>
      <w:r>
        <w:rPr>
          <w:rFonts w:hint="eastAsia"/>
          <w:color w:val="000000"/>
          <w:sz w:val="24"/>
          <w:highlight w:val="none"/>
          <w:lang w:eastAsia="zh-CN"/>
        </w:rPr>
        <w:t xml:space="preserve">评标委员会</w:t>
      </w:r>
      <w:r>
        <w:rPr>
          <w:rFonts w:hint="eastAsia"/>
          <w:color w:val="000000"/>
          <w:sz w:val="24"/>
          <w:highlight w:val="none"/>
        </w:rPr>
        <w:t xml:space="preserve">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07"/>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107"/>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8"/>
      <w:r/>
      <w:bookmarkStart w:id="559" w:name="_Toc149720833"/>
      <w:r/>
      <w:bookmarkStart w:id="560" w:name="_Toc151193782"/>
      <w:r/>
      <w:bookmarkStart w:id="561" w:name="_Toc151193710"/>
      <w:r/>
      <w:bookmarkStart w:id="562" w:name="_Toc151193854"/>
      <w:r/>
      <w:bookmarkStart w:id="563" w:name="_Toc305158808"/>
      <w:r/>
      <w:bookmarkStart w:id="564" w:name="_Toc164229381"/>
      <w:r/>
      <w:bookmarkStart w:id="565" w:name="_Toc127161454"/>
      <w:r/>
      <w:bookmarkStart w:id="566" w:name="_Toc164608809"/>
      <w:r/>
      <w:bookmarkStart w:id="567" w:name="_Toc226965813"/>
      <w:r/>
      <w:bookmarkStart w:id="568" w:name="_Toc305158882"/>
      <w:r/>
      <w:bookmarkStart w:id="569" w:name="_Toc195842905"/>
      <w:r/>
      <w:bookmarkStart w:id="570" w:name="_Toc164229235"/>
      <w:r/>
      <w:bookmarkStart w:id="571" w:name="_Toc226309784"/>
      <w:r/>
      <w:bookmarkStart w:id="572" w:name="_Toc150774640"/>
      <w:r/>
      <w:bookmarkStart w:id="573" w:name="_Toc151193638"/>
      <w:r/>
      <w:bookmarkStart w:id="574" w:name="_Toc265228378"/>
      <w:r/>
      <w:bookmarkStart w:id="575" w:name="_Toc226337236"/>
      <w:r/>
      <w:bookmarkStart w:id="576" w:name="_Toc127151540"/>
      <w:r/>
      <w:bookmarkStart w:id="577" w:name="_Toc150509291"/>
      <w:r/>
      <w:bookmarkStart w:id="578" w:name="_Toc151190167"/>
      <w:r/>
      <w:bookmarkStart w:id="579" w:name="_Toc150774745"/>
      <w:r/>
      <w:bookmarkStart w:id="580" w:name="_Toc264969230"/>
      <w:r/>
      <w:bookmarkStart w:id="581" w:name="_Toc164351634"/>
      <w:r/>
      <w:bookmarkStart w:id="582" w:name="_Toc150480778"/>
      <w:r/>
      <w:bookmarkStart w:id="583" w:name="_Toc151193928"/>
      <w:r/>
      <w:bookmarkStart w:id="584" w:name="_Toc142311042"/>
      <w:r/>
      <w:bookmarkStart w:id="585" w:name="_Toc226965730"/>
      <w:r/>
      <w:bookmarkStart w:id="586" w:name="_Toc164608654"/>
      <w:r/>
      <w:bookmarkStart w:id="587" w:name="_Toc127151741"/>
      <w:r>
        <w:rPr>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588" w:name="_Toc520356166"/>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88"/>
      <w:r>
        <w:rPr>
          <w:color w:val="000000"/>
          <w:sz w:val="24"/>
          <w:highlight w:val="none"/>
        </w:rPr>
      </w:r>
      <w:r/>
    </w:p>
    <w:p>
      <w:pPr>
        <w:pStyle w:val="110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10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89" w:name="_Toc151193643"/>
      <w:r/>
      <w:bookmarkStart w:id="590" w:name="_Toc150480783"/>
      <w:r/>
      <w:bookmarkStart w:id="591" w:name="_Toc226337241"/>
      <w:r/>
      <w:bookmarkStart w:id="592" w:name="_Toc226965818"/>
      <w:r/>
      <w:bookmarkStart w:id="593" w:name="_Toc305158887"/>
      <w:r/>
      <w:bookmarkStart w:id="594" w:name="_Toc226965735"/>
      <w:r/>
      <w:bookmarkStart w:id="595" w:name="_Toc150774645"/>
      <w:r/>
      <w:bookmarkStart w:id="596" w:name="_Toc151190172"/>
      <w:r/>
      <w:bookmarkStart w:id="597" w:name="_Toc226309789"/>
      <w:r/>
      <w:bookmarkStart w:id="598" w:name="_Toc151193859"/>
      <w:r/>
      <w:bookmarkStart w:id="599" w:name="_Toc265228383"/>
      <w:r/>
      <w:bookmarkStart w:id="600" w:name="_Toc151193933"/>
      <w:r/>
      <w:bookmarkStart w:id="601" w:name="_Toc264969235"/>
      <w:r/>
      <w:bookmarkStart w:id="602" w:name="_Toc151193715"/>
      <w:r/>
      <w:bookmarkStart w:id="603" w:name="_Toc305158813"/>
      <w:r/>
      <w:bookmarkStart w:id="604" w:name="_Toc151193787"/>
      <w:r/>
      <w:bookmarkStart w:id="605" w:name="_Toc142311047"/>
      <w:r/>
      <w:bookmarkStart w:id="606" w:name="_Toc150774750"/>
      <w:r/>
      <w:bookmarkStart w:id="607" w:name="_Toc127151545"/>
      <w:r/>
      <w:bookmarkStart w:id="608" w:name="_Toc195842910"/>
      <w:r/>
      <w:bookmarkStart w:id="609" w:name="_Toc150509296"/>
      <w:r>
        <w:rPr>
          <w:rFonts w:hint="eastAsia" w:ascii="宋体" w:hAnsi="宋体" w:eastAsia="宋体" w:cs="Times New Roman"/>
          <w:b/>
          <w:bCs/>
          <w:color w:val="000000"/>
          <w:sz w:val="28"/>
          <w:szCs w:val="28"/>
          <w:highlight w:val="none"/>
          <w:lang w:val="en-US" w:eastAsia="zh-CN"/>
        </w:rPr>
        <w:t xml:space="preserve">六   </w:t>
      </w:r>
      <w:bookmarkEnd w:id="415"/>
      <w:r>
        <w:rPr>
          <w:rFonts w:hint="eastAsia" w:ascii="宋体" w:hAnsi="宋体" w:eastAsia="宋体" w:cs="Times New Roman"/>
          <w:b/>
          <w:bCs/>
          <w:color w:val="000000"/>
          <w:sz w:val="28"/>
          <w:szCs w:val="28"/>
          <w:highlight w:val="none"/>
          <w:lang w:val="en-US" w:eastAsia="zh-CN"/>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150480785"/>
      <w:r/>
      <w:bookmarkStart w:id="611" w:name="_Toc164608816"/>
      <w:r/>
      <w:bookmarkStart w:id="612" w:name="_Toc226965737"/>
      <w:r/>
      <w:bookmarkStart w:id="613" w:name="_Toc151190174"/>
      <w:r/>
      <w:bookmarkStart w:id="614" w:name="_Toc127151547"/>
      <w:r/>
      <w:bookmarkStart w:id="615" w:name="_Toc226309791"/>
      <w:r/>
      <w:bookmarkStart w:id="616" w:name="_Toc151193789"/>
      <w:r/>
      <w:bookmarkStart w:id="617" w:name="_Toc226965820"/>
      <w:r/>
      <w:bookmarkStart w:id="618" w:name="_Toc264969237"/>
      <w:r/>
      <w:bookmarkStart w:id="619" w:name="_Toc151193717"/>
      <w:r/>
      <w:bookmarkStart w:id="620" w:name="_Toc150509298"/>
      <w:r/>
      <w:bookmarkStart w:id="621" w:name="_Toc150774647"/>
      <w:r/>
      <w:bookmarkStart w:id="622" w:name="_Toc150774752"/>
      <w:r/>
      <w:bookmarkStart w:id="623" w:name="_Toc195842912"/>
      <w:r/>
      <w:bookmarkStart w:id="624" w:name="_Toc226337243"/>
      <w:r/>
      <w:bookmarkStart w:id="625" w:name="_Toc265228385"/>
      <w:r/>
      <w:bookmarkStart w:id="626" w:name="_Toc149720840"/>
      <w:r/>
      <w:bookmarkStart w:id="627" w:name="_Toc127161461"/>
      <w:r/>
      <w:bookmarkStart w:id="628" w:name="_Toc151193861"/>
      <w:r/>
      <w:bookmarkStart w:id="629" w:name="_Toc164229242"/>
      <w:r/>
      <w:bookmarkStart w:id="630" w:name="_Toc164351641"/>
      <w:r/>
      <w:bookmarkStart w:id="631" w:name="_Toc151193935"/>
      <w:r/>
      <w:bookmarkStart w:id="632" w:name="_Toc305158815"/>
      <w:r/>
      <w:bookmarkStart w:id="633" w:name="_Toc164229388"/>
      <w:r/>
      <w:bookmarkStart w:id="634" w:name="_Toc127151748"/>
      <w:r/>
      <w:bookmarkStart w:id="635" w:name="_Toc164608661"/>
      <w:r/>
      <w:bookmarkStart w:id="636" w:name="_Toc151193645"/>
      <w:r/>
      <w:bookmarkStart w:id="637" w:name="_Toc305158889"/>
      <w:r/>
      <w:bookmarkStart w:id="638" w:name="_Toc142311049"/>
      <w:r>
        <w:rPr>
          <w:rFonts w:hint="eastAsia" w:ascii="宋体" w:hAnsi="宋体" w:eastAsia="宋体" w:cs="Times New Roman"/>
          <w:b/>
          <w:bCs/>
          <w:color w:val="000000"/>
          <w:sz w:val="28"/>
          <w:szCs w:val="28"/>
          <w:highlight w:val="none"/>
          <w:lang w:val="en-US" w:eastAsia="zh-CN"/>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，中标候选人并列的，由采购人依法确定。</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39" w:name="_Toc149720842"/>
      <w:r/>
      <w:bookmarkStart w:id="640" w:name="_Toc226965739"/>
      <w:r/>
      <w:bookmarkStart w:id="641" w:name="_Toc150480787"/>
      <w:r/>
      <w:bookmarkStart w:id="642" w:name="_Toc265228387"/>
      <w:r/>
      <w:bookmarkStart w:id="643" w:name="_Toc164608663"/>
      <w:r/>
      <w:bookmarkStart w:id="644" w:name="_Toc150774754"/>
      <w:r/>
      <w:bookmarkStart w:id="645" w:name="_Toc305158817"/>
      <w:r/>
      <w:bookmarkStart w:id="646" w:name="_Toc226337245"/>
      <w:r/>
      <w:bookmarkStart w:id="647" w:name="_Ref467307090"/>
      <w:r/>
      <w:bookmarkStart w:id="648" w:name="_Ref467306425"/>
      <w:r/>
      <w:bookmarkStart w:id="649" w:name="_Toc520356176"/>
      <w:r/>
      <w:bookmarkStart w:id="650" w:name="_Toc164608818"/>
      <w:r/>
      <w:bookmarkStart w:id="651" w:name="_Toc150774649"/>
      <w:r/>
      <w:bookmarkStart w:id="652" w:name="_Toc164229244"/>
      <w:r/>
      <w:bookmarkStart w:id="653" w:name="_Toc151193719"/>
      <w:r/>
      <w:bookmarkStart w:id="654" w:name="_Toc150509300"/>
      <w:r/>
      <w:bookmarkStart w:id="655" w:name="_Toc127151750"/>
      <w:r/>
      <w:bookmarkStart w:id="656" w:name="_Toc305158891"/>
      <w:r/>
      <w:bookmarkStart w:id="657" w:name="_Toc151193863"/>
      <w:r/>
      <w:bookmarkStart w:id="658" w:name="_Toc226965822"/>
      <w:r/>
      <w:bookmarkStart w:id="659" w:name="_Toc151193791"/>
      <w:r/>
      <w:bookmarkStart w:id="660" w:name="_Toc127161463"/>
      <w:r/>
      <w:bookmarkStart w:id="661" w:name="_Toc151190176"/>
      <w:r/>
      <w:bookmarkStart w:id="662" w:name="_Toc142311051"/>
      <w:r/>
      <w:bookmarkStart w:id="663" w:name="_Toc264969239"/>
      <w:r/>
      <w:bookmarkStart w:id="664" w:name="_Toc164229390"/>
      <w:r/>
      <w:bookmarkStart w:id="665" w:name="_Toc151193647"/>
      <w:r/>
      <w:bookmarkStart w:id="666" w:name="_Toc164351643"/>
      <w:r/>
      <w:bookmarkStart w:id="667" w:name="_Toc195842914"/>
      <w:r/>
      <w:bookmarkStart w:id="668" w:name="_Toc226309793"/>
      <w:r/>
      <w:bookmarkStart w:id="669" w:name="_Toc151193937"/>
      <w:r/>
      <w:bookmarkStart w:id="670" w:name="_Toc127151549"/>
      <w:r>
        <w:rPr>
          <w:rFonts w:hint="eastAsia" w:ascii="宋体" w:hAnsi="宋体" w:eastAsia="宋体" w:cs="宋体"/>
          <w:color w:val="000000"/>
          <w:sz w:val="24"/>
          <w:szCs w:val="24"/>
          <w:highlight w:val="none"/>
        </w:rPr>
        <w:t xml:space="preserve">中标公告与中标通知书</w:t>
      </w:r>
      <w:bookmarkEnd w:id="645"/>
      <w:r/>
      <w:bookmarkEnd w:id="656"/>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发出中标通知书，中标公告期限为1个工作日。</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均具有法律效力。中标通知书发出后，采购人改变中标结果的，或者</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供应商或者对招标文件作实质响应的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供应商不足三家的；</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1107"/>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1107"/>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39"/>
      <w:r/>
      <w:bookmarkEnd w:id="640"/>
      <w:r/>
      <w:bookmarkEnd w:id="641"/>
      <w:r/>
      <w:bookmarkEnd w:id="642"/>
      <w:r/>
      <w:bookmarkEnd w:id="643"/>
      <w:r/>
      <w:bookmarkEnd w:id="644"/>
      <w:r/>
      <w:bookmarkEnd w:id="646"/>
      <w:r/>
      <w:bookmarkEnd w:id="650"/>
      <w:r/>
      <w:bookmarkEnd w:id="651"/>
      <w:r/>
      <w:bookmarkEnd w:id="652"/>
      <w:r/>
      <w:bookmarkEnd w:id="653"/>
      <w:r/>
      <w:bookmarkEnd w:id="654"/>
      <w:r/>
      <w:bookmarkEnd w:id="655"/>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Start w:id="671" w:name="_Ref467306978"/>
      <w:r/>
      <w:bookmarkStart w:id="672" w:name="_Toc150774650"/>
      <w:r/>
      <w:bookmarkStart w:id="673" w:name="_Toc164608819"/>
      <w:r/>
      <w:bookmarkStart w:id="674" w:name="_Toc151193864"/>
      <w:r/>
      <w:bookmarkStart w:id="675" w:name="_Toc226965740"/>
      <w:r/>
      <w:bookmarkStart w:id="676" w:name="_Toc226309794"/>
      <w:r/>
      <w:bookmarkStart w:id="677" w:name="_Toc151190177"/>
      <w:r/>
      <w:bookmarkStart w:id="678" w:name="_Toc127161464"/>
      <w:r/>
      <w:bookmarkStart w:id="679" w:name="_Toc150509301"/>
      <w:r/>
      <w:bookmarkStart w:id="680" w:name="_Toc164608664"/>
      <w:r/>
      <w:bookmarkStart w:id="681" w:name="_Toc150774755"/>
      <w:r/>
      <w:bookmarkStart w:id="682" w:name="_Toc164229391"/>
      <w:r/>
      <w:bookmarkStart w:id="683" w:name="_Toc151193938"/>
      <w:r/>
      <w:bookmarkStart w:id="684" w:name="_Ref467306377"/>
      <w:r/>
      <w:bookmarkStart w:id="685" w:name="_Toc164229245"/>
      <w:r/>
      <w:bookmarkStart w:id="686" w:name="_Toc265228388"/>
      <w:r/>
      <w:bookmarkStart w:id="687" w:name="_Toc520356175"/>
      <w:r/>
      <w:bookmarkStart w:id="688" w:name="_Toc164351644"/>
      <w:r/>
      <w:bookmarkStart w:id="689" w:name="_Toc127151751"/>
      <w:r/>
      <w:bookmarkStart w:id="690" w:name="_Toc150480788"/>
      <w:r/>
      <w:bookmarkStart w:id="691" w:name="_Toc151193792"/>
      <w:r/>
      <w:bookmarkStart w:id="692" w:name="_Toc151193648"/>
      <w:r/>
      <w:bookmarkStart w:id="693" w:name="_Toc149720843"/>
      <w:r/>
      <w:bookmarkStart w:id="694" w:name="_Toc305158818"/>
      <w:r/>
      <w:bookmarkStart w:id="695" w:name="_Ref467307204"/>
      <w:r/>
      <w:bookmarkStart w:id="696" w:name="_Toc226965823"/>
      <w:r/>
      <w:bookmarkStart w:id="697" w:name="_Toc142311052"/>
      <w:r/>
      <w:bookmarkStart w:id="698" w:name="_Toc226337246"/>
      <w:r/>
      <w:bookmarkStart w:id="699" w:name="_Toc151193720"/>
      <w:r/>
      <w:bookmarkStart w:id="700" w:name="_Toc195842915"/>
      <w:r/>
      <w:bookmarkStart w:id="701" w:name="_Toc264969240"/>
      <w:r/>
      <w:bookmarkStart w:id="702" w:name="_Toc305158892"/>
      <w:r/>
      <w:bookmarkStart w:id="703" w:name="_Toc127151550"/>
      <w:r/>
      <w:bookmarkStart w:id="704" w:name="_Ref467307062"/>
      <w:r>
        <w:rPr>
          <w:rFonts w:hint="eastAsia" w:ascii="宋体" w:hAnsi="宋体" w:eastAsia="宋体" w:cs="宋体"/>
          <w:color w:val="000000"/>
          <w:sz w:val="24"/>
          <w:szCs w:val="24"/>
          <w:highlight w:val="none"/>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、采购人应当自中标通知书发出之日起30日内，按照招标文件和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投标文件的规定签订书面合同。所签订的合同不得对招标文件确定的事项和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拒绝与采购人签订合同的，采购人可以按照评标报告推荐的中标候选人名单排序，确定下一候选人为</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，也可以重新开展政府采购活动。</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47"/>
      <w:r/>
      <w:bookmarkEnd w:id="648"/>
      <w:r/>
      <w:bookmarkEnd w:id="649"/>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187"/>
          <w:rFonts w:hint="eastAsia" w:ascii="宋体" w:hAnsi="宋体" w:eastAsia="宋体" w:cs="宋体"/>
          <w:color w:val="000000"/>
          <w:sz w:val="24"/>
          <w:szCs w:val="24"/>
          <w:highlight w:val="none"/>
        </w:rPr>
        <w:t xml:space="preserve">http://gk</w:t>
      </w:r>
      <w:bookmarkStart w:id="705" w:name="_Hlt100654014"/>
      <w:r>
        <w:rPr>
          <w:rStyle w:val="1187"/>
          <w:rFonts w:hint="eastAsia" w:ascii="宋体" w:hAnsi="宋体" w:eastAsia="宋体" w:cs="宋体"/>
          <w:color w:val="000000"/>
          <w:sz w:val="24"/>
          <w:szCs w:val="24"/>
          <w:highlight w:val="none"/>
        </w:rPr>
        <w:t xml:space="preserve">s</w:t>
      </w:r>
      <w:bookmarkEnd w:id="705"/>
      <w:r>
        <w:rPr>
          <w:rStyle w:val="1187"/>
          <w:rFonts w:hint="eastAsia" w:ascii="宋体" w:hAnsi="宋体" w:eastAsia="宋体" w:cs="宋体"/>
          <w:color w:val="000000"/>
          <w:sz w:val="24"/>
          <w:szCs w:val="24"/>
          <w:highlight w:val="none"/>
        </w:rPr>
        <w:t xml:space="preserve">.m</w:t>
      </w:r>
      <w:bookmarkStart w:id="706" w:name="_Hlt100653993"/>
      <w:r/>
      <w:bookmarkStart w:id="707" w:name="_Hlt100653994"/>
      <w:r>
        <w:rPr>
          <w:rStyle w:val="1187"/>
          <w:rFonts w:hint="eastAsia" w:ascii="宋体" w:hAnsi="宋体" w:eastAsia="宋体" w:cs="宋体"/>
          <w:color w:val="000000"/>
          <w:sz w:val="24"/>
          <w:szCs w:val="24"/>
          <w:highlight w:val="none"/>
        </w:rPr>
        <w:t xml:space="preserve">o</w:t>
      </w:r>
      <w:bookmarkEnd w:id="706"/>
      <w:r/>
      <w:bookmarkEnd w:id="707"/>
      <w:r>
        <w:rPr>
          <w:rStyle w:val="1187"/>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110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110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110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支付的，</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须一次性向采购代理机构缴纳代理费，投标报价应包含代理费用。</w:t>
      </w:r>
      <w:r>
        <w:rPr>
          <w:rFonts w:hint="eastAsia" w:ascii="宋体" w:hAnsi="宋体" w:eastAsia="宋体" w:cs="宋体"/>
          <w:color w:val="000000"/>
          <w:sz w:val="24"/>
          <w:szCs w:val="24"/>
          <w:highlight w:val="none"/>
        </w:rPr>
      </w:r>
      <w:r/>
    </w:p>
    <w:p>
      <w:pPr>
        <w:pStyle w:val="1107"/>
        <w:jc w:val="center"/>
        <w:spacing w:line="360" w:lineRule="auto"/>
        <w:rPr>
          <w:b/>
          <w:color w:val="000000"/>
          <w:sz w:val="36"/>
          <w:szCs w:val="36"/>
          <w:highlight w:val="none"/>
        </w:rPr>
        <w:outlineLvl w:val="0"/>
      </w:pPr>
      <w:r/>
      <w:bookmarkStart w:id="708" w:name="_Toc99301421"/>
      <w:r/>
      <w:bookmarkStart w:id="709" w:name="_Toc4607"/>
      <w:r/>
      <w:bookmarkStart w:id="710" w:name="_Toc353873934"/>
      <w:r/>
      <w:bookmarkStart w:id="711" w:name="_Toc305158822"/>
      <w:r/>
      <w:bookmarkStart w:id="712" w:name="_Toc226337250"/>
      <w:r/>
      <w:bookmarkStart w:id="713" w:name="_Toc127151554"/>
      <w:r/>
      <w:bookmarkStart w:id="714" w:name="_Toc265228392"/>
      <w:r/>
      <w:bookmarkStart w:id="715" w:name="_Toc305158896"/>
      <w:r/>
      <w:bookmarkStart w:id="716" w:name="_Toc264969244"/>
      <w:r/>
      <w:bookmarkStart w:id="717" w:name="_Toc226965827"/>
      <w:r/>
      <w:bookmarkStart w:id="718" w:name="_Toc142311056"/>
      <w:r/>
      <w:bookmarkStart w:id="719" w:name="_Toc150480792"/>
      <w:r/>
      <w:bookmarkStart w:id="720" w:name="_Toc150774759"/>
      <w:r/>
      <w:bookmarkStart w:id="721" w:name="_Toc353825544"/>
      <w:r/>
      <w:bookmarkStart w:id="722" w:name="_Toc353873664"/>
      <w:r>
        <w:rPr>
          <w:b/>
          <w:color w:val="000000"/>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color w:val="000000"/>
          <w:sz w:val="36"/>
          <w:szCs w:val="36"/>
          <w:highlight w:val="none"/>
        </w:rPr>
        <w:t xml:space="preserve">资格审查</w:t>
      </w:r>
      <w:bookmarkEnd w:id="708"/>
      <w:r/>
      <w:bookmarkEnd w:id="709"/>
      <w:r/>
      <w:bookmarkStart w:id="723" w:name="_Toc487900382"/>
      <w:r>
        <w:rPr>
          <w:b/>
          <w:color w:val="000000"/>
          <w:sz w:val="36"/>
          <w:szCs w:val="36"/>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24" w:name="_Toc99301422"/>
      <w:r>
        <w:rPr>
          <w:rFonts w:hint="eastAsia" w:ascii="宋体" w:hAnsi="宋体" w:eastAsia="宋体" w:cs="Times New Roman"/>
          <w:b/>
          <w:bCs/>
          <w:color w:val="000000"/>
          <w:sz w:val="28"/>
          <w:szCs w:val="28"/>
          <w:highlight w:val="none"/>
          <w:lang w:val="en-US" w:eastAsia="zh-CN"/>
        </w:rPr>
        <w:t xml:space="preserve">一、资格审查程序</w:t>
      </w:r>
      <w:bookmarkEnd w:id="724"/>
      <w:r>
        <w:rPr>
          <w:rFonts w:hint="eastAsia" w:ascii="宋体" w:hAnsi="宋体" w:eastAsia="宋体" w:cs="Times New Roman"/>
          <w:b/>
          <w:bCs/>
          <w:color w:val="000000"/>
          <w:sz w:val="28"/>
          <w:szCs w:val="28"/>
          <w:highlight w:val="none"/>
          <w:lang w:val="en-US" w:eastAsia="zh-CN"/>
        </w:rPr>
      </w:r>
      <w:r/>
    </w:p>
    <w:p>
      <w:pPr>
        <w:pStyle w:val="1107"/>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1107"/>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1107"/>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110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3935"/>
        <w:gridCol w:w="2525"/>
      </w:tblGrid>
      <w:tr>
        <w:trPr>
          <w:cantSplit/>
          <w:trHeight w:val="468"/>
          <w:tblHeader/>
        </w:trPr>
        <w:tc>
          <w:tcPr>
            <w:tcW w:w="846" w:type="dxa"/>
            <w:vAlign w:val="center"/>
            <w:textDirection w:val="lrTb"/>
            <w:noWrap w:val="false"/>
          </w:tcPr>
          <w:p>
            <w:pPr>
              <w:pStyle w:val="1107"/>
              <w:jc w:val="center"/>
              <w:tabs>
                <w:tab w:val="left" w:pos="1080" w:leader="none"/>
              </w:tabs>
              <w:rPr>
                <w:b/>
                <w:color w:val="000000"/>
                <w:sz w:val="24"/>
                <w:highlight w:val="none"/>
              </w:rPr>
              <w:outlineLvl w:val="9"/>
            </w:pPr>
            <w:r/>
            <w:bookmarkStart w:id="725" w:name="_Hlt487972895"/>
            <w:r/>
            <w:bookmarkEnd w:id="725"/>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1107"/>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3935" w:type="dxa"/>
            <w:vAlign w:val="center"/>
            <w:textDirection w:val="lrTb"/>
            <w:noWrap w:val="false"/>
          </w:tcPr>
          <w:p>
            <w:pPr>
              <w:pStyle w:val="1107"/>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2525" w:type="dxa"/>
            <w:vAlign w:val="center"/>
            <w:textDirection w:val="lrTb"/>
            <w:noWrap w:val="false"/>
          </w:tcPr>
          <w:p>
            <w:pPr>
              <w:pStyle w:val="1107"/>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1107"/>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3935"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2525"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r>
            <w:r/>
          </w:p>
        </w:tc>
      </w:tr>
      <w:tr>
        <w:trPr>
          <w:cantSplit/>
          <w:trHeight w:val="468"/>
        </w:trPr>
        <w:tc>
          <w:tcPr>
            <w:tcW w:w="846" w:type="dxa"/>
            <w:vAlign w:val="center"/>
            <w:textDirection w:val="lrTb"/>
            <w:noWrap w:val="false"/>
          </w:tcPr>
          <w:p>
            <w:pPr>
              <w:pStyle w:val="1107"/>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1107"/>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3935"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2525"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1107"/>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3935" w:type="dxa"/>
            <w:vAlign w:val="center"/>
            <w:textDirection w:val="lrTb"/>
            <w:noWrap w:val="false"/>
          </w:tcPr>
          <w:p>
            <w:pPr>
              <w:pStyle w:val="1107"/>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07"/>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107"/>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107"/>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2525" w:type="dxa"/>
            <w:vAlign w:val="center"/>
            <w:textDirection w:val="lrTb"/>
            <w:noWrap w:val="false"/>
          </w:tcPr>
          <w:p>
            <w:pPr>
              <w:pStyle w:val="1107"/>
              <w:tabs>
                <w:tab w:val="left" w:pos="1080" w:leader="none"/>
              </w:tabs>
              <w:rPr>
                <w:color w:val="000000"/>
                <w:sz w:val="24"/>
                <w:highlight w:val="none"/>
              </w:rPr>
              <w:outlineLvl w:val="9"/>
            </w:pPr>
            <w:r>
              <w:rPr>
                <w:rFonts w:hint="eastAsia"/>
                <w:color w:val="000000"/>
                <w:sz w:val="24"/>
                <w:highlight w:val="none"/>
              </w:rPr>
              <w:t xml:space="preserve">无须投标人提供，由采购人查询。</w:t>
            </w:r>
            <w:r>
              <w:rPr>
                <w:color w:val="000000"/>
                <w:sz w:val="24"/>
                <w:highlight w:val="none"/>
              </w:rPr>
            </w:r>
            <w:r/>
          </w:p>
        </w:tc>
      </w:tr>
    </w:tbl>
    <w:p>
      <w:pPr>
        <w:pStyle w:val="1107"/>
        <w:jc w:val="center"/>
        <w:widowControl/>
        <w:rPr>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23"/>
      <w:r/>
      <w:bookmarkStart w:id="726" w:name="_Toc353873940"/>
      <w:r/>
      <w:bookmarkStart w:id="727" w:name="_Toc353825550"/>
      <w:r/>
      <w:bookmarkStart w:id="728" w:name="_Toc226965858"/>
      <w:r/>
      <w:bookmarkStart w:id="729" w:name="_Toc127161490"/>
      <w:r/>
      <w:bookmarkStart w:id="730" w:name="_Toc127151779"/>
      <w:r>
        <w:rPr>
          <w:color w:val="000000"/>
          <w:sz w:val="24"/>
          <w:highlight w:val="none"/>
        </w:rPr>
      </w:r>
      <w:r/>
    </w:p>
    <w:p>
      <w:pPr>
        <w:pStyle w:val="1107"/>
        <w:jc w:val="center"/>
        <w:widowControl/>
        <w:rPr>
          <w:b/>
          <w:color w:val="000000"/>
          <w:sz w:val="36"/>
          <w:szCs w:val="36"/>
          <w:highlight w:val="none"/>
        </w:rPr>
        <w:outlineLvl w:val="0"/>
      </w:pPr>
      <w:r/>
      <w:bookmarkStart w:id="731" w:name="_Toc99301423"/>
      <w:r/>
      <w:bookmarkStart w:id="732" w:name="_Toc8940"/>
      <w:r>
        <w:rPr>
          <w:b/>
          <w:color w:val="000000"/>
          <w:sz w:val="36"/>
          <w:szCs w:val="36"/>
          <w:highlight w:val="none"/>
        </w:rPr>
        <w:t xml:space="preserve">第四章   </w:t>
      </w:r>
      <w:bookmarkEnd w:id="726"/>
      <w:r/>
      <w:bookmarkEnd w:id="727"/>
      <w:r/>
      <w:bookmarkEnd w:id="728"/>
      <w:r/>
      <w:bookmarkEnd w:id="729"/>
      <w:r/>
      <w:bookmarkEnd w:id="730"/>
      <w:r/>
      <w:bookmarkStart w:id="733" w:name="_Hlt164229061"/>
      <w:r/>
      <w:bookmarkEnd w:id="733"/>
      <w:r>
        <w:rPr>
          <w:b/>
          <w:color w:val="000000"/>
          <w:sz w:val="36"/>
          <w:szCs w:val="36"/>
          <w:highlight w:val="none"/>
        </w:rPr>
        <w:t xml:space="preserve">评标程序、评标方法和评标标准</w:t>
      </w:r>
      <w:bookmarkEnd w:id="731"/>
      <w:r/>
      <w:bookmarkEnd w:id="732"/>
      <w:r>
        <w:rPr>
          <w:b/>
          <w:color w:val="000000"/>
          <w:sz w:val="36"/>
          <w:szCs w:val="36"/>
          <w:highlight w:val="none"/>
        </w:rPr>
      </w:r>
      <w:r/>
    </w:p>
    <w:p>
      <w:pPr>
        <w:pStyle w:val="1107"/>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107"/>
        <w:numPr>
          <w:ilvl w:val="0"/>
          <w:numId w:val="12"/>
        </w:numPr>
        <w:spacing w:line="360" w:lineRule="auto"/>
        <w:tabs>
          <w:tab w:val="left" w:pos="360" w:leader="none"/>
          <w:tab w:val="left" w:pos="900" w:leader="none"/>
        </w:tabs>
        <w:rPr>
          <w:color w:val="000000"/>
          <w:sz w:val="24"/>
          <w:highlight w:val="none"/>
        </w:rPr>
        <w:outlineLvl w:val="9"/>
      </w:pPr>
      <w:r/>
      <w:bookmarkStart w:id="734" w:name="_Toc305158809"/>
      <w:r/>
      <w:bookmarkStart w:id="735" w:name="_Toc305158883"/>
      <w:r/>
      <w:bookmarkStart w:id="736" w:name="_Toc265228379"/>
      <w:r/>
      <w:bookmarkStart w:id="737" w:name="_Toc151193711"/>
      <w:r/>
      <w:bookmarkStart w:id="738" w:name="_Toc164229382"/>
      <w:r/>
      <w:bookmarkStart w:id="739" w:name="_Toc151190168"/>
      <w:r/>
      <w:bookmarkStart w:id="740" w:name="_Toc149720834"/>
      <w:r/>
      <w:bookmarkStart w:id="741" w:name="_Toc264969231"/>
      <w:r/>
      <w:bookmarkStart w:id="742" w:name="_Toc142311043"/>
      <w:r/>
      <w:bookmarkStart w:id="743" w:name="_Toc151193783"/>
      <w:r/>
      <w:bookmarkStart w:id="744" w:name="_Toc164608810"/>
      <w:r/>
      <w:bookmarkStart w:id="745" w:name="_Toc151193855"/>
      <w:r/>
      <w:bookmarkStart w:id="746" w:name="_Toc164351635"/>
      <w:r/>
      <w:bookmarkStart w:id="747" w:name="_Toc151193929"/>
      <w:r/>
      <w:bookmarkStart w:id="748" w:name="_Toc226337237"/>
      <w:r/>
      <w:bookmarkStart w:id="749" w:name="_Toc164608655"/>
      <w:r/>
      <w:bookmarkStart w:id="750" w:name="_Toc195842906"/>
      <w:r/>
      <w:bookmarkStart w:id="751" w:name="_Toc150509292"/>
      <w:r/>
      <w:bookmarkStart w:id="752" w:name="_Toc226965814"/>
      <w:r/>
      <w:bookmarkStart w:id="753" w:name="_Toc127151541"/>
      <w:r/>
      <w:bookmarkStart w:id="754" w:name="_Toc226965731"/>
      <w:r/>
      <w:bookmarkStart w:id="755" w:name="_Toc150774641"/>
      <w:r/>
      <w:bookmarkStart w:id="756" w:name="_Toc164229236"/>
      <w:r/>
      <w:bookmarkStart w:id="757" w:name="_Toc151193639"/>
      <w:r/>
      <w:bookmarkStart w:id="758" w:name="_Toc150774746"/>
      <w:r/>
      <w:bookmarkStart w:id="759" w:name="_Toc150480779"/>
      <w:r/>
      <w:bookmarkStart w:id="760" w:name="_Toc127151742"/>
      <w:r/>
      <w:bookmarkStart w:id="761" w:name="_Toc226309785"/>
      <w:r/>
      <w:bookmarkStart w:id="762" w:name="_Toc127161455"/>
      <w:r/>
      <w:bookmarkStart w:id="763" w:name="_Toc353873941"/>
      <w:r/>
      <w:bookmarkStart w:id="764" w:name="_Toc353825551"/>
      <w:r/>
      <w:bookmarkStart w:id="765" w:name="_Toc226337251"/>
      <w:r/>
      <w:bookmarkStart w:id="766" w:name="_Toc150774760"/>
      <w:r/>
      <w:bookmarkStart w:id="767" w:name="_Toc353873935"/>
      <w:r/>
      <w:bookmarkStart w:id="768" w:name="_Toc353873665"/>
      <w:r/>
      <w:bookmarkStart w:id="769" w:name="_Toc127151555"/>
      <w:r/>
      <w:bookmarkStart w:id="770" w:name="_Toc305158823"/>
      <w:r/>
      <w:bookmarkStart w:id="771" w:name="_Toc305158897"/>
      <w:r/>
      <w:bookmarkStart w:id="772" w:name="_Toc150480793"/>
      <w:r/>
      <w:bookmarkStart w:id="773" w:name="_Toc195842920"/>
      <w:r/>
      <w:bookmarkStart w:id="774" w:name="_Toc226965828"/>
      <w:r/>
      <w:bookmarkStart w:id="775" w:name="_Toc264969245"/>
      <w:r/>
      <w:bookmarkStart w:id="776" w:name="_Toc265228393"/>
      <w:r/>
      <w:bookmarkStart w:id="777" w:name="_Toc142311057"/>
      <w:r/>
      <w:bookmarkStart w:id="778" w:name="_Toc353825545"/>
      <w:r>
        <w:rPr>
          <w:color w:val="000000"/>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color w:val="000000"/>
          <w:sz w:val="24"/>
          <w:highlight w:val="none"/>
        </w:rPr>
      </w:r>
      <w:r/>
    </w:p>
    <w:p>
      <w:pPr>
        <w:pStyle w:val="1107"/>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79" w:name="_Toc520356167"/>
      <w:r>
        <w:rPr>
          <w:color w:val="000000"/>
          <w:sz w:val="24"/>
          <w:highlight w:val="none"/>
        </w:rPr>
      </w:r>
      <w:r/>
    </w:p>
    <w:p>
      <w:pPr>
        <w:pStyle w:val="1107"/>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79"/>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107"/>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07"/>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1107"/>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1107"/>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w:t>
            </w:r>
            <w:r>
              <w:rPr>
                <w:rFonts w:hint="eastAsia"/>
                <w:color w:val="000000"/>
                <w:sz w:val="24"/>
                <w:highlight w:val="none"/>
                <w:lang w:val="en-US" w:eastAsia="zh-CN"/>
              </w:rPr>
              <w:t xml:space="preserve">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1107"/>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1107"/>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9</w:t>
            </w:r>
            <w:r>
              <w:rPr>
                <w:rFonts w:eastAsia="宋体"/>
                <w:color w:val="000000"/>
                <w:sz w:val="24"/>
                <w:highlight w:val="none"/>
                <w:lang w:val="en-US" w:eastAsia="zh-CN"/>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w:t>
            </w:r>
            <w:r>
              <w:rPr>
                <w:rFonts w:hint="eastAsia"/>
                <w:color w:val="000000"/>
                <w:sz w:val="24"/>
                <w:highlight w:val="none"/>
                <w:lang w:eastAsia="zh-CN"/>
              </w:rPr>
              <w:t xml:space="preserve">服务</w:t>
            </w:r>
            <w:r>
              <w:rPr>
                <w:color w:val="000000"/>
                <w:sz w:val="24"/>
                <w:highlight w:val="none"/>
              </w:rPr>
              <w:t xml:space="preserve">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07"/>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1107"/>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11</w:t>
            </w:r>
            <w:r>
              <w:rPr>
                <w:rFonts w:eastAsia="宋体"/>
                <w:color w:val="000000"/>
                <w:sz w:val="24"/>
                <w:highlight w:val="none"/>
                <w:lang w:val="en-US" w:eastAsia="zh-CN"/>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1107"/>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1107"/>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13</w:t>
            </w:r>
            <w:r>
              <w:rPr>
                <w:rFonts w:eastAsia="宋体"/>
                <w:color w:val="000000"/>
                <w:sz w:val="24"/>
                <w:highlight w:val="none"/>
                <w:lang w:val="en-US" w:eastAsia="zh-CN"/>
              </w:rPr>
            </w:r>
            <w:r/>
          </w:p>
        </w:tc>
        <w:tc>
          <w:tcPr>
            <w:tcW w:w="1813"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1107"/>
              <w:jc w:val="left"/>
              <w:widowControl/>
              <w:rPr>
                <w:color w:val="000000"/>
                <w:sz w:val="24"/>
                <w:highlight w:val="none"/>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1107"/>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1107"/>
        <w:numPr>
          <w:ilvl w:val="0"/>
          <w:numId w:val="0"/>
        </w:numPr>
        <w:ind w:left="357"/>
        <w:spacing w:line="360" w:lineRule="auto"/>
        <w:tabs>
          <w:tab w:val="left" w:pos="1080" w:leader="none"/>
        </w:tabs>
        <w:rPr>
          <w:color w:val="000000"/>
          <w:sz w:val="24"/>
          <w:highlight w:val="none"/>
        </w:rPr>
      </w:pPr>
      <w:r>
        <w:rPr>
          <w:rFonts w:hint="eastAsia"/>
          <w:color w:val="000000"/>
          <w:sz w:val="24"/>
          <w:highlight w:val="none"/>
          <w:lang w:val="en-US" w:eastAsia="zh-CN"/>
        </w:rPr>
        <w:t xml:space="preserve">2.1</w:t>
      </w: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1107"/>
        <w:numPr>
          <w:ilvl w:val="0"/>
          <w:numId w:val="0"/>
        </w:numPr>
        <w:ind w:left="357"/>
        <w:spacing w:line="360" w:lineRule="auto"/>
        <w:tabs>
          <w:tab w:val="left" w:pos="1080" w:leader="none"/>
        </w:tabs>
        <w:rPr>
          <w:color w:val="000000"/>
          <w:sz w:val="24"/>
          <w:highlight w:val="none"/>
        </w:rPr>
      </w:pPr>
      <w:r>
        <w:rPr>
          <w:rFonts w:hint="eastAsia"/>
          <w:color w:val="000000"/>
          <w:sz w:val="24"/>
          <w:highlight w:val="none"/>
        </w:rPr>
        <w:t xml:space="preserve">2.2评标委员会认为投标人的报价明显低于其他通过符合性审查投标人的报价，有可能影响</w:t>
      </w:r>
      <w:r>
        <w:rPr>
          <w:rFonts w:hint="eastAsia"/>
          <w:color w:val="000000"/>
          <w:sz w:val="24"/>
          <w:highlight w:val="none"/>
          <w:lang w:val="en-US" w:eastAsia="zh-CN"/>
        </w:rPr>
        <w:t xml:space="preserve">服务</w:t>
      </w:r>
      <w:r>
        <w:rPr>
          <w:rFonts w:hint="eastAsia"/>
          <w:color w:val="000000"/>
          <w:sz w:val="24"/>
          <w:highlight w:val="none"/>
        </w:rPr>
        <w:t xml:space="preserve">质量或者不能诚信履约的，有权要求该投标人在规定的时间内提供书面说明，必要时提交相关证明材料；若投标人不能证明其报价合理性，评标委员会将其作为</w:t>
      </w:r>
      <w:r>
        <w:rPr>
          <w:rFonts w:hint="eastAsia"/>
          <w:b/>
          <w:bCs/>
          <w:color w:val="000000"/>
          <w:sz w:val="24"/>
          <w:highlight w:val="none"/>
        </w:rPr>
        <w:t xml:space="preserve">无效投标处理</w:t>
      </w:r>
      <w:r>
        <w:rPr>
          <w:rFonts w:hint="eastAsia"/>
          <w:color w:val="000000"/>
          <w:sz w:val="24"/>
          <w:highlight w:val="none"/>
        </w:rPr>
        <w:t xml:space="preserve">。</w:t>
      </w:r>
      <w:r>
        <w:rPr>
          <w:color w:val="000000"/>
          <w:sz w:val="24"/>
          <w:highlight w:val="none"/>
        </w:rPr>
      </w:r>
      <w:r/>
    </w:p>
    <w:p>
      <w:pPr>
        <w:pStyle w:val="1107"/>
        <w:numPr>
          <w:ilvl w:val="0"/>
          <w:numId w:val="0"/>
        </w:numPr>
        <w:ind w:left="357"/>
        <w:spacing w:line="360" w:lineRule="auto"/>
        <w:tabs>
          <w:tab w:val="left" w:pos="1080" w:leader="none"/>
        </w:tabs>
        <w:rPr>
          <w:rFonts w:hint="eastAsia"/>
          <w:b/>
          <w:bCs/>
          <w:color w:val="000000"/>
          <w:sz w:val="24"/>
          <w:highlight w:val="none"/>
        </w:rPr>
      </w:pPr>
      <w:r>
        <w:rPr>
          <w:rFonts w:hint="eastAsia"/>
          <w:b/>
          <w:bCs/>
          <w:color w:val="000000"/>
          <w:sz w:val="24"/>
          <w:highlight w:val="none"/>
        </w:rPr>
        <w:t xml:space="preserve">2.</w:t>
      </w:r>
      <w:r>
        <w:rPr>
          <w:rFonts w:hint="eastAsia"/>
          <w:b/>
          <w:bCs/>
          <w:color w:val="000000"/>
          <w:sz w:val="24"/>
          <w:highlight w:val="none"/>
          <w:lang w:val="en-US" w:eastAsia="zh-CN"/>
        </w:rPr>
        <w:t xml:space="preserve">2</w:t>
      </w:r>
      <w:r>
        <w:rPr>
          <w:rFonts w:hint="eastAsia"/>
          <w:b/>
          <w:bCs/>
          <w:color w:val="000000"/>
          <w:sz w:val="24"/>
          <w:highlight w:val="none"/>
        </w:rPr>
        <w:t xml:space="preserve">.1实施政府采购异常低价审查的有关要求：具体按照财</w:t>
      </w:r>
      <w:r>
        <w:rPr>
          <w:rFonts w:hint="eastAsia"/>
          <w:b/>
          <w:bCs/>
          <w:color w:val="000000"/>
          <w:sz w:val="24"/>
          <w:highlight w:val="none"/>
          <w:lang w:val="en-US" w:eastAsia="zh-CN"/>
        </w:rPr>
        <w:t xml:space="preserve">库</w:t>
      </w:r>
      <w:r>
        <w:rPr>
          <w:rFonts w:hint="eastAsia"/>
          <w:b/>
          <w:bCs/>
          <w:color w:val="000000"/>
          <w:sz w:val="24"/>
          <w:highlight w:val="none"/>
        </w:rPr>
        <w:t xml:space="preserve">〔202</w:t>
      </w:r>
      <w:r>
        <w:rPr>
          <w:rFonts w:hint="eastAsia"/>
          <w:b/>
          <w:bCs/>
          <w:color w:val="000000"/>
          <w:sz w:val="24"/>
          <w:highlight w:val="none"/>
          <w:lang w:val="en-US" w:eastAsia="zh-CN"/>
        </w:rPr>
        <w:t xml:space="preserve">6</w:t>
      </w:r>
      <w:r>
        <w:rPr>
          <w:rFonts w:hint="eastAsia"/>
          <w:b/>
          <w:bCs/>
          <w:color w:val="000000"/>
          <w:sz w:val="24"/>
          <w:highlight w:val="none"/>
        </w:rPr>
        <w:t xml:space="preserve">〕</w:t>
      </w:r>
      <w:r>
        <w:rPr>
          <w:rFonts w:hint="eastAsia"/>
          <w:b/>
          <w:bCs/>
          <w:color w:val="000000"/>
          <w:sz w:val="24"/>
          <w:highlight w:val="none"/>
          <w:lang w:val="en-US" w:eastAsia="zh-CN"/>
        </w:rPr>
        <w:t xml:space="preserve">2</w:t>
      </w:r>
      <w:r>
        <w:rPr>
          <w:rFonts w:hint="eastAsia"/>
          <w:b/>
          <w:bCs/>
          <w:color w:val="000000"/>
          <w:sz w:val="24"/>
          <w:highlight w:val="none"/>
        </w:rPr>
        <w:t xml:space="preserve">号《关于推动解决政府采购异常低价问题的通知》要求：</w:t>
      </w:r>
      <w:r>
        <w:rPr>
          <w:rFonts w:hint="eastAsia"/>
          <w:b/>
          <w:bCs/>
          <w:color w:val="000000"/>
          <w:sz w:val="24"/>
          <w:highlight w:val="none"/>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（一）政府采购评审中出现下列情形之一的，评审委员会应当启动异常低价投标（响应）审查程序：</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3.投标（响应）报价低于采购项目最高限价45%的，即投标（响应）报价&lt;采购项目最高限价×45%；</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4.评审委员会基于专业判断，认为供应商报价过低，有可能影响产品质量或者不能诚信履约的其他情形。</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采购人可以结合具体项目实际情况，提高上述第1项至第3项中启动异常低价投标（响应）审查的数值标准，但是最高不得超过65%。</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相关法律法规对供应商报价有规定的，从其规定。</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b/>
          <w:bCs/>
          <w:i w:val="0"/>
          <w:iCs w:val="0"/>
          <w:caps w:val="0"/>
          <w:color w:val="000000"/>
          <w:spacing w:val="0"/>
          <w:sz w:val="21"/>
          <w:szCs w:val="21"/>
        </w:rPr>
      </w:r>
      <w:r/>
    </w:p>
    <w:p>
      <w:pPr>
        <w:pStyle w:val="1107"/>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ascii="Calibri" w:hAnsi="Calibri" w:cs="Calibri"/>
          <w:b/>
          <w:bCs/>
          <w:i w:val="0"/>
          <w:iCs w:val="0"/>
          <w:caps w:val="0"/>
          <w:color w:val="000000"/>
          <w:spacing w:val="0"/>
          <w:sz w:val="21"/>
          <w:szCs w:val="21"/>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1107"/>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1107"/>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w:t>
      </w:r>
      <w:r>
        <w:rPr>
          <w:rFonts w:hint="eastAsia" w:ascii="宋体" w:hAnsi="宋体" w:eastAsia="宋体" w:cs="宋体"/>
          <w:color w:val="000000"/>
          <w:sz w:val="24"/>
          <w:highlight w:val="none"/>
          <w:lang w:val="en-US" w:eastAsia="zh-CN"/>
        </w:rPr>
        <w:t xml:space="preserve">只</w:t>
      </w:r>
      <w:r>
        <w:rPr>
          <w:rFonts w:hint="eastAsia" w:ascii="宋体" w:hAnsi="宋体" w:eastAsia="宋体" w:cs="宋体"/>
          <w:color w:val="000000"/>
          <w:sz w:val="24"/>
          <w:highlight w:val="none"/>
        </w:rPr>
        <w:t xml:space="preserve">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ascii="宋体" w:hAnsi="宋体" w:eastAsia="宋体" w:cs="宋体"/>
          <w:color w:val="000000"/>
          <w:sz w:val="24"/>
          <w:szCs w:val="24"/>
          <w:highlight w:val="none"/>
        </w:rPr>
        <w:t xml:space="preserve">组成联合体的小微企业与联合体内其他企业之间存在直接控股、管理关系的，不享受价格扣除优惠政策。</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1107"/>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63"/>
      <w:r/>
      <w:bookmarkEnd w:id="764"/>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1107"/>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1107"/>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1107"/>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07"/>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80" w:name="_Toc164608660"/>
      <w:r/>
      <w:bookmarkStart w:id="781" w:name="_Toc305158814"/>
      <w:r/>
      <w:bookmarkStart w:id="782" w:name="_Toc150509297"/>
      <w:r/>
      <w:bookmarkStart w:id="783" w:name="_Toc305158888"/>
      <w:r/>
      <w:bookmarkStart w:id="784" w:name="_Ref467307010"/>
      <w:r/>
      <w:bookmarkStart w:id="785" w:name="_Toc142311048"/>
      <w:r/>
      <w:bookmarkStart w:id="786" w:name="_Toc226965736"/>
      <w:r/>
      <w:bookmarkStart w:id="787" w:name="_Toc164229387"/>
      <w:r/>
      <w:bookmarkStart w:id="788" w:name="_Toc164608815"/>
      <w:r/>
      <w:bookmarkStart w:id="789" w:name="_Toc265228384"/>
      <w:r/>
      <w:bookmarkStart w:id="790" w:name="_Toc150774646"/>
      <w:r/>
      <w:bookmarkStart w:id="791" w:name="_Toc264969236"/>
      <w:r/>
      <w:bookmarkStart w:id="792" w:name="_Toc226337242"/>
      <w:r/>
      <w:bookmarkStart w:id="793" w:name="_Toc520356170"/>
      <w:r/>
      <w:bookmarkStart w:id="794" w:name="_Toc195842911"/>
      <w:r/>
      <w:bookmarkStart w:id="795" w:name="_Toc150480784"/>
      <w:r/>
      <w:bookmarkStart w:id="796" w:name="_Toc127151747"/>
      <w:r/>
      <w:bookmarkStart w:id="797" w:name="_Toc151193860"/>
      <w:r/>
      <w:bookmarkStart w:id="798" w:name="_Toc164229241"/>
      <w:r/>
      <w:bookmarkStart w:id="799" w:name="_Toc151193644"/>
      <w:r/>
      <w:bookmarkStart w:id="800" w:name="_Toc127151546"/>
      <w:r/>
      <w:bookmarkStart w:id="801" w:name="_Toc226965819"/>
      <w:r/>
      <w:bookmarkStart w:id="802" w:name="_Toc151193788"/>
      <w:r/>
      <w:bookmarkStart w:id="803" w:name="_Toc149720839"/>
      <w:r/>
      <w:bookmarkStart w:id="804" w:name="_Toc127161460"/>
      <w:r/>
      <w:bookmarkStart w:id="805" w:name="_Toc151193934"/>
      <w:r/>
      <w:bookmarkStart w:id="806" w:name="_Toc151190173"/>
      <w:r/>
      <w:bookmarkStart w:id="807" w:name="_Toc226309790"/>
      <w:r/>
      <w:bookmarkStart w:id="808" w:name="_Toc151193716"/>
      <w:r/>
      <w:bookmarkStart w:id="809" w:name="_Toc164351640"/>
      <w:r/>
      <w:bookmarkStart w:id="810" w:name="_Toc150774751"/>
      <w:r>
        <w:rPr>
          <w:rFonts w:hint="eastAsia" w:ascii="宋体" w:hAnsi="宋体" w:eastAsia="宋体" w:cs="宋体"/>
          <w:color w:val="000000"/>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评标委员会要对评分汇总情况进行复核，特别是对排名第一的、报价最低的、投标或</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被认定为无效的情形进行重点复核。</w:t>
      </w:r>
      <w:r>
        <w:rPr>
          <w:rFonts w:hint="eastAsia" w:ascii="宋体" w:hAnsi="宋体" w:eastAsia="宋体" w:cs="宋体"/>
          <w:color w:val="000000"/>
          <w:sz w:val="24"/>
          <w:highlight w:val="none"/>
        </w:rPr>
      </w:r>
      <w:r/>
    </w:p>
    <w:p>
      <w:pPr>
        <w:pStyle w:val="1107"/>
        <w:numPr>
          <w:ilvl w:val="1"/>
          <w:numId w:val="12"/>
        </w:numPr>
        <w:ind w:left="1077" w:hanging="720"/>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7"/>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1107"/>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1107"/>
        <w:numPr>
          <w:ilvl w:val="0"/>
          <w:numId w:val="13"/>
        </w:numPr>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评标标准</w:t>
      </w:r>
      <w:r>
        <w:rPr>
          <w:rFonts w:hint="eastAsia" w:ascii="宋体" w:hAnsi="宋体" w:eastAsia="宋体" w:cs="Times New Roman"/>
          <w:b/>
          <w:bCs/>
          <w:color w:val="000000"/>
          <w:sz w:val="28"/>
          <w:szCs w:val="28"/>
          <w:highlight w:val="none"/>
          <w:lang w:val="en-US" w:eastAsia="zh-CN"/>
        </w:rPr>
      </w:r>
      <w:r/>
    </w:p>
    <w:tbl>
      <w:tblPr>
        <w:tblStyle w:val="1365"/>
        <w:tblW w:w="53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1155"/>
        <w:gridCol w:w="864"/>
        <w:gridCol w:w="6219"/>
      </w:tblGrid>
      <w:tr>
        <w:trPr>
          <w:trHeight w:val="283"/>
        </w:trPr>
        <w:tc>
          <w:tcPr>
            <w:tcW w:w="591"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54"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评审因素</w:t>
            </w:r>
            <w:r>
              <w:rPr>
                <w:rFonts w:hint="eastAsia" w:ascii="宋体" w:hAnsi="宋体" w:eastAsia="宋体" w:cs="宋体"/>
                <w:b/>
                <w:color w:val="000000"/>
                <w:sz w:val="24"/>
                <w:szCs w:val="24"/>
                <w:highlight w:val="none"/>
              </w:rPr>
            </w:r>
            <w:r/>
          </w:p>
        </w:tc>
        <w:tc>
          <w:tcPr>
            <w:tcW w:w="863"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6212"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r>
      <w:tr>
        <w:trPr>
          <w:trHeight w:val="283"/>
        </w:trPr>
        <w:tc>
          <w:tcPr>
            <w:gridSpan w:val="4"/>
            <w:tcW w:w="8830" w:type="dxa"/>
            <w:vAlign w:val="center"/>
            <w:textDirection w:val="lrTb"/>
            <w:noWrap w:val="false"/>
          </w:tcPr>
          <w:p>
            <w:pPr>
              <w:pStyle w:val="1107"/>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w:t>
            </w:r>
            <w:r>
              <w:rPr>
                <w:rFonts w:hint="eastAsia" w:ascii="宋体" w:hAnsi="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4"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W w:w="863"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W w:w="6212" w:type="dxa"/>
            <w:vAlign w:val="center"/>
            <w:textDirection w:val="lrTb"/>
            <w:noWrap w:val="false"/>
          </w:tcPr>
          <w:p>
            <w:pPr>
              <w:pStyle w:val="1107"/>
              <w:jc w:val="left"/>
              <w:keepLines w:val="0"/>
              <w:keepNext w:val="0"/>
              <w:pageBreakBefore w:val="0"/>
              <w:spacing w:line="360" w:lineRule="auto"/>
              <w:tabs>
                <w:tab w:val="left" w:pos="12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要求且报价最低的报价为评标基准价，其价格分为满分。其他</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的价格分统一按照下列公式计算：价格分得分＝（评标基准价/报价）×分值。</w:t>
            </w:r>
            <w:r>
              <w:rPr>
                <w:rFonts w:hint="eastAsia" w:ascii="宋体" w:hAnsi="宋体" w:eastAsia="宋体" w:cs="宋体"/>
                <w:color w:val="000000"/>
                <w:sz w:val="24"/>
                <w:szCs w:val="24"/>
                <w:highlight w:val="none"/>
              </w:rPr>
            </w:r>
            <w:r/>
          </w:p>
          <w:p>
            <w:pPr>
              <w:pStyle w:val="1107"/>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lang w:val="en-US" w:eastAsia="zh-CN" w:bidi="ar-SA"/>
              </w:rPr>
            </w:r>
            <w:r/>
          </w:p>
        </w:tc>
      </w:tr>
      <w:tr>
        <w:trPr>
          <w:trHeight w:val="283"/>
        </w:trPr>
        <w:tc>
          <w:tcPr>
            <w:gridSpan w:val="4"/>
            <w:tcW w:w="8830" w:type="dxa"/>
            <w:vAlign w:val="center"/>
            <w:textDirection w:val="lrTb"/>
            <w:noWrap w:val="false"/>
          </w:tcPr>
          <w:p>
            <w:pPr>
              <w:pStyle w:val="1107"/>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主观</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50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4"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网络安全风险评估及维护服务方案</w:t>
            </w:r>
            <w:r>
              <w:rPr>
                <w:rFonts w:hint="eastAsia" w:ascii="宋体" w:hAnsi="宋体" w:eastAsia="宋体" w:cs="宋体"/>
                <w:color w:val="000000"/>
                <w:sz w:val="24"/>
                <w:szCs w:val="24"/>
                <w:highlight w:val="none"/>
                <w:lang w:val="en-US" w:eastAsia="zh-CN"/>
              </w:rPr>
            </w:r>
            <w:r/>
          </w:p>
        </w:tc>
        <w:tc>
          <w:tcPr>
            <w:tcW w:w="863"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评标委员会根据投标</w:t>
            </w:r>
            <w:r>
              <w:rPr>
                <w:rFonts w:hint="eastAsia" w:ascii="宋体" w:hAnsi="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拟制的</w:t>
            </w:r>
            <w:r>
              <w:rPr>
                <w:rFonts w:hint="eastAsia" w:ascii="宋体" w:hAnsi="宋体" w:cs="宋体"/>
                <w:color w:val="000000"/>
                <w:sz w:val="24"/>
                <w:szCs w:val="24"/>
                <w:highlight w:val="none"/>
                <w:lang w:val="en-US" w:eastAsia="zh-CN"/>
              </w:rPr>
              <w:t xml:space="preserve">网络安全风险评估及维护服务方案</w:t>
            </w:r>
            <w:r>
              <w:rPr>
                <w:rFonts w:hint="eastAsia" w:ascii="宋体" w:hAnsi="宋体" w:cs="宋体"/>
                <w:color w:val="000000"/>
                <w:sz w:val="24"/>
                <w:szCs w:val="24"/>
                <w:highlight w:val="none"/>
                <w:lang w:val="en-US" w:eastAsia="zh-CN" w:bidi="ar-SA"/>
              </w:rPr>
              <w:t xml:space="preserve">进行综合评审：</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方案完整，能完全满足项目实施要求，得10分。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方案较具体，能基本满足项目实施要求，得8分。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方案能部分满足项目实施要求，得6分。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方案内容较简单，对项目实施要求响应一般，得4分。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未提供本项不得分。</w:t>
            </w:r>
            <w:r>
              <w:rPr>
                <w:rFonts w:ascii="宋体" w:hAnsi="宋体" w:eastAsia="宋体" w:cs="宋体"/>
                <w:color w:val="000000"/>
                <w:sz w:val="24"/>
                <w:szCs w:val="24"/>
                <w:highlight w:val="none"/>
                <w:lang w:val="en-US"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54"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lang w:val="en-US" w:eastAsia="zh-CN" w:bidi="ar-SA"/>
              </w:rPr>
              <w:t xml:space="preserve">信息化基础设备运维服务方案</w:t>
            </w:r>
            <w:r>
              <w:rPr>
                <w:rFonts w:hint="eastAsia" w:ascii="宋体" w:hAnsi="宋体" w:eastAsia="宋体" w:cs="宋体"/>
                <w:color w:val="000000"/>
                <w:sz w:val="24"/>
                <w:szCs w:val="24"/>
                <w:highlight w:val="none"/>
                <w:lang w:val="en-US" w:eastAsia="zh-CN"/>
              </w:rPr>
            </w:r>
            <w:r/>
          </w:p>
        </w:tc>
        <w:tc>
          <w:tcPr>
            <w:tcW w:w="863" w:type="dxa"/>
            <w:vAlign w:val="center"/>
            <w:textDirection w:val="lrTb"/>
            <w:noWrap w:val="false"/>
          </w:tcPr>
          <w:p>
            <w:pPr>
              <w:pStyle w:val="1107"/>
              <w:jc w:val="center"/>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评标委员会根据投标</w:t>
            </w:r>
            <w:r>
              <w:rPr>
                <w:rFonts w:hint="eastAsia" w:ascii="宋体" w:hAnsi="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拟制的</w:t>
            </w:r>
            <w:r>
              <w:rPr>
                <w:rFonts w:hint="eastAsia" w:ascii="宋体" w:hAnsi="宋体" w:cs="宋体"/>
                <w:bCs/>
                <w:color w:val="000000"/>
                <w:sz w:val="24"/>
                <w:szCs w:val="24"/>
                <w:highlight w:val="none"/>
                <w:lang w:val="en-US" w:eastAsia="zh-CN" w:bidi="ar-SA"/>
              </w:rPr>
              <w:t xml:space="preserve">信息化基础设备运维服务方案</w:t>
            </w:r>
            <w:r>
              <w:rPr>
                <w:rFonts w:hint="eastAsia" w:ascii="宋体" w:hAnsi="宋体" w:cs="宋体"/>
                <w:color w:val="000000"/>
                <w:sz w:val="24"/>
                <w:szCs w:val="24"/>
                <w:highlight w:val="none"/>
                <w:lang w:val="en-US" w:eastAsia="zh-CN" w:bidi="ar-SA"/>
              </w:rPr>
              <w:t xml:space="preserve">进行综合评审：</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方案完整，能完全满足项目实施要求，得10分。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方案较具体，能基本满足项目实施要求，得8分。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方案能部分满足项目实施要求，得6分。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方案内容较简单，对项目实施要求响应一般，得4分。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未提供本项不得分。</w:t>
            </w:r>
            <w:r>
              <w:rPr>
                <w:rFonts w:hint="eastAsia" w:ascii="宋体" w:hAnsi="宋体" w:eastAsia="宋体" w:cs="宋体"/>
                <w:color w:val="000000"/>
                <w:sz w:val="24"/>
                <w:szCs w:val="24"/>
                <w:highlight w:val="none"/>
                <w:lang w:val="en-US"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安防设施运维服务方案</w:t>
            </w:r>
            <w:r>
              <w:rPr>
                <w:rFonts w:hint="eastAsia" w:ascii="宋体" w:hAnsi="宋体" w:eastAsia="宋体" w:cs="宋体"/>
                <w:bCs/>
                <w:color w:val="000000"/>
                <w:sz w:val="24"/>
                <w:szCs w:val="24"/>
                <w:highlight w:val="none"/>
                <w:lang w:val="en-US" w:eastAsia="zh-CN" w:bidi="ar-SA"/>
              </w:rPr>
            </w:r>
            <w:r/>
          </w:p>
        </w:tc>
        <w:tc>
          <w:tcPr>
            <w:tcW w:w="863" w:type="dxa"/>
            <w:vAlign w:val="center"/>
            <w:textDirection w:val="lrTb"/>
            <w:noWrap w:val="false"/>
          </w:tcPr>
          <w:p>
            <w:pPr>
              <w:pStyle w:val="1107"/>
              <w:jc w:val="center"/>
              <w:keepLines w:val="0"/>
              <w:keepNext w:val="0"/>
              <w:pageBreakBefore w:val="0"/>
              <w:spacing w:line="360" w:lineRule="auto"/>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6212" w:type="dxa"/>
            <w:vAlign w:val="top"/>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评标委员会根据投标</w:t>
            </w:r>
            <w:r>
              <w:rPr>
                <w:rFonts w:hint="eastAsia" w:ascii="宋体" w:hAnsi="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拟制的</w:t>
            </w:r>
            <w:r>
              <w:rPr>
                <w:rFonts w:hint="eastAsia" w:ascii="宋体" w:hAnsi="宋体" w:cs="宋体"/>
                <w:bCs/>
                <w:color w:val="000000"/>
                <w:sz w:val="24"/>
                <w:szCs w:val="24"/>
                <w:highlight w:val="none"/>
                <w:lang w:val="en-US" w:eastAsia="zh-CN" w:bidi="ar-SA"/>
              </w:rPr>
              <w:t xml:space="preserve">安防设施运维服务方案</w:t>
            </w:r>
            <w:r>
              <w:rPr>
                <w:rFonts w:hint="eastAsia" w:ascii="宋体" w:hAnsi="宋体" w:cs="宋体"/>
                <w:color w:val="000000"/>
                <w:sz w:val="24"/>
                <w:szCs w:val="24"/>
                <w:highlight w:val="none"/>
                <w:lang w:val="en-US" w:eastAsia="zh-CN" w:bidi="ar-SA"/>
              </w:rPr>
              <w:t xml:space="preserve">进行综合评审：</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方案完整，能完全满足项目实施要求，得10分。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方案较具体，能基本满足项目实施要求，得8分。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方案能部分满足项目实施要求，得6分。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方案内容较简单，对项目实施要求响应一般，得4分。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未提供本项不得分。</w:t>
            </w:r>
            <w:r>
              <w:rPr>
                <w:rFonts w:hint="eastAsia" w:ascii="宋体" w:hAnsi="宋体" w:eastAsia="宋体" w:cs="宋体"/>
                <w:color w:val="000000"/>
                <w:sz w:val="24"/>
                <w:szCs w:val="24"/>
                <w:highlight w:val="none"/>
                <w:lang w:val="zh-CN"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通讯系统运维服务方案</w:t>
            </w:r>
            <w:r>
              <w:rPr>
                <w:rFonts w:hint="eastAsia" w:ascii="宋体" w:hAnsi="宋体" w:eastAsia="宋体" w:cs="宋体"/>
                <w:color w:val="000000"/>
                <w:sz w:val="24"/>
                <w:szCs w:val="24"/>
                <w:highlight w:val="none"/>
                <w:lang w:val="en-US" w:eastAsia="zh-CN"/>
              </w:rPr>
            </w:r>
            <w:r/>
          </w:p>
        </w:tc>
        <w:tc>
          <w:tcPr>
            <w:tcW w:w="863"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评标委员会根据投标</w:t>
            </w:r>
            <w:r>
              <w:rPr>
                <w:rFonts w:hint="eastAsia" w:ascii="宋体" w:hAnsi="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拟制的</w:t>
            </w:r>
            <w:r>
              <w:rPr>
                <w:rFonts w:hint="eastAsia" w:ascii="宋体" w:hAnsi="宋体" w:cs="宋体"/>
                <w:color w:val="000000"/>
                <w:sz w:val="24"/>
                <w:szCs w:val="24"/>
                <w:highlight w:val="none"/>
                <w:lang w:val="en-US" w:eastAsia="zh-CN"/>
              </w:rPr>
              <w:t xml:space="preserve">通讯系统运维服务方案</w:t>
            </w:r>
            <w:r>
              <w:rPr>
                <w:rFonts w:hint="eastAsia" w:ascii="宋体" w:hAnsi="宋体" w:cs="宋体"/>
                <w:color w:val="000000"/>
                <w:sz w:val="24"/>
                <w:szCs w:val="24"/>
                <w:highlight w:val="none"/>
                <w:lang w:val="en-US" w:eastAsia="zh-CN" w:bidi="ar-SA"/>
              </w:rPr>
              <w:t xml:space="preserve">进行综合评审：</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方案完整，能完全满足项目实施要求，得10分。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方案较具体，能基本满足项目实施要求，得8分。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方案能部分满足项目实施要求，得6分。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方案内容较简单，对项目实施要求响应一般，得4分。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未提供本项不得分。</w:t>
            </w:r>
            <w:r>
              <w:rPr>
                <w:rFonts w:hint="eastAsia" w:ascii="宋体" w:hAnsi="宋体" w:eastAsia="宋体" w:cs="宋体"/>
                <w:color w:val="000000"/>
                <w:sz w:val="24"/>
                <w:szCs w:val="24"/>
                <w:highlight w:val="none"/>
                <w:lang w:val="en-US"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1154"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服务保证措施方案</w:t>
            </w:r>
            <w:r>
              <w:rPr>
                <w:rFonts w:hint="eastAsia" w:ascii="宋体" w:hAnsi="宋体" w:eastAsia="宋体" w:cs="宋体"/>
                <w:color w:val="000000"/>
                <w:sz w:val="24"/>
                <w:szCs w:val="24"/>
                <w:highlight w:val="none"/>
                <w:lang w:val="en-US" w:eastAsia="zh-CN"/>
              </w:rPr>
            </w:r>
            <w:r/>
          </w:p>
        </w:tc>
        <w:tc>
          <w:tcPr>
            <w:tcW w:w="863"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评标委员会根据投标</w:t>
            </w:r>
            <w:r>
              <w:rPr>
                <w:rFonts w:hint="eastAsia" w:ascii="宋体" w:hAnsi="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拟制的</w:t>
            </w:r>
            <w:r>
              <w:rPr>
                <w:rFonts w:hint="eastAsia" w:ascii="宋体" w:hAnsi="宋体" w:cs="宋体"/>
                <w:color w:val="000000"/>
                <w:sz w:val="24"/>
                <w:szCs w:val="24"/>
                <w:highlight w:val="none"/>
                <w:lang w:val="en-US" w:eastAsia="zh-CN"/>
              </w:rPr>
              <w:t xml:space="preserve">服务保证措施方案（服务质量保证措施：建立完善的运维服务质量管控流程，包含服务巡检、故障处置、验收反馈等环节，有明确的质量考核标准。培训服务保证措施：制定针对性的运维培训计划，明确培训内容、培训频次、培训对象，可提供现场或线上培训支持。应急保障保证措施：针对突发网络安全事件、设备瘫痪、通讯中断等应急场景，制定专项应急预案，明确应急处置流程、应急物资及演练计划。售后延伸保证措施：明确服务期满后的后续服务方案，包含技术支持、故障响应、方案咨询等延伸服务，保障服务连续性。）</w:t>
            </w:r>
            <w:r>
              <w:rPr>
                <w:rFonts w:hint="eastAsia" w:ascii="宋体" w:hAnsi="宋体" w:cs="宋体"/>
                <w:color w:val="000000"/>
                <w:sz w:val="24"/>
                <w:szCs w:val="24"/>
                <w:highlight w:val="none"/>
                <w:lang w:val="en-US" w:eastAsia="zh-CN" w:bidi="ar-SA"/>
              </w:rPr>
              <w:t xml:space="preserve">进行综合评审：</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方案完整，能完全满足项目实施要求，得10分。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方案较具体，能基本满足项目实施要求，得8分。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方案能部分满足项目实施要求，得6分。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方案内容较简单，对项目实施要求响应一般，得4分。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color w:val="000000"/>
                <w:sz w:val="24"/>
                <w:szCs w:val="24"/>
                <w:highlight w:val="none"/>
                <w:lang w:val="zh-CN" w:eastAsia="zh-CN" w:bidi="ar-SA"/>
              </w:rPr>
              <w:outlineLvl w:val="9"/>
            </w:pPr>
            <w:r>
              <w:rPr>
                <w:rFonts w:hint="eastAsia" w:ascii="宋体" w:hAnsi="宋体" w:cs="宋体"/>
                <w:color w:val="000000"/>
                <w:sz w:val="24"/>
                <w:szCs w:val="24"/>
                <w:highlight w:val="none"/>
                <w:lang w:val="en-US" w:eastAsia="zh-CN" w:bidi="ar-SA"/>
              </w:rPr>
              <w:t xml:space="preserve">未提供本项不得分。</w:t>
            </w:r>
            <w:r>
              <w:rPr>
                <w:rFonts w:hint="eastAsia" w:ascii="宋体" w:hAnsi="宋体" w:eastAsia="宋体" w:cs="宋体"/>
                <w:color w:val="000000"/>
                <w:sz w:val="24"/>
                <w:szCs w:val="24"/>
                <w:highlight w:val="none"/>
                <w:lang w:val="zh-CN" w:eastAsia="zh-CN" w:bidi="ar-SA"/>
              </w:rPr>
            </w:r>
            <w:r/>
          </w:p>
        </w:tc>
      </w:tr>
      <w:tr>
        <w:trPr>
          <w:trHeight w:val="283"/>
        </w:trPr>
        <w:tc>
          <w:tcPr>
            <w:gridSpan w:val="4"/>
            <w:tcW w:w="8830" w:type="dxa"/>
            <w:vAlign w:val="center"/>
            <w:textDirection w:val="lrTb"/>
            <w:noWrap w:val="false"/>
          </w:tcPr>
          <w:p>
            <w:pPr>
              <w:pStyle w:val="1107"/>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客</w:t>
            </w:r>
            <w:r>
              <w:rPr>
                <w:rFonts w:hint="eastAsia" w:ascii="宋体" w:hAnsi="宋体" w:eastAsia="宋体" w:cs="宋体"/>
                <w:b/>
                <w:color w:val="000000"/>
                <w:sz w:val="24"/>
                <w:szCs w:val="24"/>
                <w:highlight w:val="none"/>
                <w:lang w:val="en-US" w:eastAsia="zh-CN"/>
              </w:rPr>
              <w:t xml:space="preserve">观分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1107"/>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r>
            <w:r/>
          </w:p>
        </w:tc>
        <w:tc>
          <w:tcPr>
            <w:tcW w:w="863" w:type="dxa"/>
            <w:vAlign w:val="center"/>
            <w:textDirection w:val="lrTb"/>
            <w:noWrap w:val="false"/>
          </w:tcPr>
          <w:p>
            <w:pPr>
              <w:pStyle w:val="1107"/>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投标人自2023年1月1日以来（以合同签订时间为准）承担过类似项目业绩（如：化工园区信息化监管平台运维类项目），有一个得2分，最高得8分。</w:t>
            </w:r>
            <w:r>
              <w:rPr>
                <w:rFonts w:hint="eastAsia" w:ascii="宋体" w:hAnsi="宋体" w:cs="宋体"/>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color w:val="000000"/>
                <w:sz w:val="24"/>
                <w:szCs w:val="24"/>
                <w:highlight w:val="none"/>
                <w:lang w:val="zh-CN" w:eastAsia="zh-CN" w:bidi="ar-SA"/>
              </w:rPr>
              <w:outlineLvl w:val="9"/>
            </w:pPr>
            <w:r>
              <w:rPr>
                <w:rFonts w:hint="eastAsia" w:ascii="宋体" w:hAnsi="宋体" w:cs="宋体"/>
                <w:b/>
                <w:bCs/>
                <w:color w:val="000000"/>
                <w:sz w:val="24"/>
                <w:szCs w:val="24"/>
                <w:highlight w:val="none"/>
                <w:lang w:val="en-US" w:eastAsia="zh-CN" w:bidi="ar-SA"/>
              </w:rPr>
              <w:t xml:space="preserve">注：投标文件中提供</w:t>
            </w:r>
            <w:r>
              <w:rPr>
                <w:rFonts w:hint="eastAsia" w:ascii="宋体" w:hAnsi="宋体" w:eastAsia="宋体" w:cs="宋体"/>
                <w:b/>
                <w:bCs/>
                <w:color w:val="000000"/>
                <w:sz w:val="24"/>
                <w:szCs w:val="24"/>
                <w:highlight w:val="none"/>
                <w:lang w:val="en-US" w:eastAsia="zh-CN" w:bidi="ar-SA"/>
              </w:rPr>
              <w:t xml:space="preserve">合同并加盖</w:t>
            </w:r>
            <w:r>
              <w:rPr>
                <w:rFonts w:hint="eastAsia" w:ascii="宋体" w:hAnsi="宋体" w:cs="宋体"/>
                <w:b/>
                <w:bCs/>
                <w:color w:val="000000"/>
                <w:sz w:val="24"/>
                <w:szCs w:val="24"/>
                <w:highlight w:val="none"/>
                <w:lang w:val="en-US" w:eastAsia="zh-CN" w:bidi="ar-SA"/>
              </w:rPr>
              <w:t xml:space="preserve">投标人公章，否则不得分。</w:t>
            </w:r>
            <w:r>
              <w:rPr>
                <w:rFonts w:hint="eastAsia" w:ascii="宋体" w:hAnsi="宋体" w:eastAsia="宋体" w:cs="宋体"/>
                <w:color w:val="000000"/>
                <w:sz w:val="24"/>
                <w:szCs w:val="24"/>
                <w:highlight w:val="none"/>
                <w:lang w:val="zh-CN"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1107"/>
              <w:jc w:val="center"/>
              <w:keepLines w:val="0"/>
              <w:keepNext w:val="0"/>
              <w:pageBreakBefore w:val="0"/>
              <w:spacing w:line="360" w:lineRule="auto"/>
              <w:rPr>
                <w:rFonts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认证证书</w:t>
            </w:r>
            <w:r>
              <w:rPr>
                <w:rFonts w:ascii="宋体" w:hAnsi="宋体" w:eastAsia="宋体" w:cs="宋体"/>
                <w:color w:val="000000"/>
                <w:sz w:val="24"/>
                <w:szCs w:val="24"/>
                <w:highlight w:val="none"/>
                <w:shd w:val="clear" w:color="auto" w:fill="ffffff"/>
                <w:lang w:val="en-US" w:eastAsia="zh-CN" w:bidi="ar-SA"/>
              </w:rPr>
            </w:r>
            <w:r/>
          </w:p>
        </w:tc>
        <w:tc>
          <w:tcPr>
            <w:tcW w:w="863" w:type="dxa"/>
            <w:vAlign w:val="center"/>
            <w:textDirection w:val="lrTb"/>
            <w:noWrap w:val="false"/>
          </w:tcPr>
          <w:p>
            <w:pPr>
              <w:pStyle w:val="1107"/>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1、投标人具有质量管理体系认证证书、信息安全管理体系认证证书、服务管理体系认证证书的，每提供一项得2分，最高得6分。</w:t>
            </w:r>
            <w:r>
              <w:rPr>
                <w:rFonts w:hint="eastAsia" w:ascii="宋体" w:hAnsi="宋体" w:cs="宋体"/>
                <w:b w:val="0"/>
                <w:bCs w:val="0"/>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2、投标人具有信息系统安全运维证书，得2分。</w:t>
            </w:r>
            <w:r>
              <w:rPr>
                <w:rFonts w:hint="eastAsia" w:ascii="宋体" w:hAnsi="宋体" w:cs="宋体"/>
                <w:b w:val="0"/>
                <w:bCs w:val="0"/>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3、投标人具有信息系统建设和服务能力等级证书，得2分。</w:t>
            </w:r>
            <w:r>
              <w:rPr>
                <w:rFonts w:hint="eastAsia" w:ascii="宋体" w:hAnsi="宋体" w:cs="宋体"/>
                <w:b w:val="0"/>
                <w:bCs w:val="0"/>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注：投标文件中提供相应证书</w:t>
            </w:r>
            <w:r>
              <w:rPr>
                <w:rFonts w:hint="eastAsia" w:ascii="宋体" w:hAnsi="宋体" w:eastAsia="宋体" w:cs="宋体"/>
                <w:b/>
                <w:bCs/>
                <w:color w:val="000000"/>
                <w:sz w:val="24"/>
                <w:szCs w:val="24"/>
                <w:highlight w:val="none"/>
                <w:lang w:val="en-US" w:eastAsia="zh-CN" w:bidi="ar-SA"/>
              </w:rPr>
              <w:t xml:space="preserve">并加盖</w:t>
            </w:r>
            <w:r>
              <w:rPr>
                <w:rFonts w:hint="eastAsia" w:ascii="宋体" w:hAnsi="宋体" w:cs="宋体"/>
                <w:b/>
                <w:bCs/>
                <w:color w:val="000000"/>
                <w:sz w:val="24"/>
                <w:szCs w:val="24"/>
                <w:highlight w:val="none"/>
                <w:lang w:val="en-US" w:eastAsia="zh-CN" w:bidi="ar-SA"/>
              </w:rPr>
              <w:t xml:space="preserve">投标人公章，否则不得分。</w:t>
            </w:r>
            <w:r>
              <w:rPr>
                <w:rFonts w:hint="eastAsia" w:ascii="宋体" w:hAnsi="宋体" w:eastAsia="宋体" w:cs="宋体"/>
                <w:b w:val="0"/>
                <w:bCs w:val="0"/>
                <w:color w:val="000000"/>
                <w:sz w:val="24"/>
                <w:szCs w:val="24"/>
                <w:highlight w:val="none"/>
                <w:lang w:val="en-US" w:eastAsia="zh-CN" w:bidi="ar-SA"/>
              </w:rPr>
            </w:r>
            <w:r/>
          </w:p>
        </w:tc>
      </w:tr>
      <w:tr>
        <w:trPr>
          <w:trHeight w:val="283"/>
        </w:trPr>
        <w:tc>
          <w:tcPr>
            <w:tcW w:w="591"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bidi="ar-SA"/>
              </w:rPr>
            </w:r>
            <w:r/>
          </w:p>
        </w:tc>
        <w:tc>
          <w:tcPr>
            <w:tcW w:w="863" w:type="dxa"/>
            <w:vAlign w:val="center"/>
            <w:textDirection w:val="lrTb"/>
            <w:noWrap w:val="false"/>
          </w:tcPr>
          <w:p>
            <w:pPr>
              <w:pStyle w:val="1107"/>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bidi="ar-SA"/>
              </w:rPr>
            </w:r>
            <w:r/>
          </w:p>
        </w:tc>
        <w:tc>
          <w:tcPr>
            <w:tcW w:w="6212" w:type="dxa"/>
            <w:vAlign w:val="center"/>
            <w:textDirection w:val="lrTb"/>
            <w:noWrap w:val="false"/>
          </w:tcPr>
          <w:p>
            <w:pPr>
              <w:pStyle w:val="1107"/>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项目负责人：</w:t>
            </w:r>
            <w:r>
              <w:rPr>
                <w:rFonts w:hint="eastAsia" w:ascii="宋体" w:hAnsi="宋体" w:cs="宋体"/>
                <w:b w:val="0"/>
                <w:bCs w:val="0"/>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同时具有系统集成项目管理工程师证书和网络工程师证书的得2分。</w:t>
            </w:r>
            <w:r>
              <w:rPr>
                <w:rFonts w:hint="eastAsia" w:ascii="宋体" w:hAnsi="宋体" w:cs="宋体"/>
                <w:b w:val="0"/>
                <w:bCs w:val="0"/>
                <w:color w:val="000000"/>
                <w:sz w:val="24"/>
                <w:szCs w:val="24"/>
                <w:highlight w:val="none"/>
                <w:lang w:val="en-US" w:eastAsia="zh-CN" w:bidi="ar-SA"/>
              </w:rPr>
            </w:r>
            <w:r/>
          </w:p>
          <w:p>
            <w:pPr>
              <w:pStyle w:val="1107"/>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注：投标文件中提供相应证书</w:t>
            </w:r>
            <w:r>
              <w:rPr>
                <w:rFonts w:hint="eastAsia" w:ascii="宋体" w:hAnsi="宋体" w:cs="宋体"/>
                <w:b/>
                <w:bCs/>
                <w:color w:val="000000"/>
                <w:sz w:val="24"/>
                <w:highlight w:val="none"/>
              </w:rPr>
              <w:t xml:space="preserve">及</w:t>
            </w:r>
            <w:r>
              <w:rPr>
                <w:rFonts w:hint="eastAsia" w:ascii="宋体" w:hAnsi="宋体" w:cs="宋体"/>
                <w:b/>
                <w:bCs/>
                <w:color w:val="000000"/>
                <w:sz w:val="24"/>
                <w:highlight w:val="none"/>
              </w:rPr>
              <w:t xml:space="preserve">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月至202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月中任意一个月</w:t>
            </w:r>
            <w:r>
              <w:rPr>
                <w:rFonts w:hint="eastAsia"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为</w:t>
            </w:r>
            <w:r>
              <w:rPr>
                <w:rFonts w:hint="eastAsia" w:ascii="宋体" w:hAnsi="宋体" w:eastAsia="宋体" w:cs="宋体"/>
                <w:b/>
                <w:bCs/>
                <w:color w:val="000000"/>
                <w:sz w:val="24"/>
                <w:szCs w:val="24"/>
                <w:highlight w:val="none"/>
                <w:lang w:val="en-US" w:eastAsia="zh-CN"/>
              </w:rPr>
              <w:t xml:space="preserve">项目负责人缴纳社保的证明，</w:t>
            </w:r>
            <w:r>
              <w:rPr>
                <w:rFonts w:hint="eastAsia" w:ascii="宋体" w:hAnsi="宋体" w:cs="宋体"/>
                <w:b/>
                <w:bCs/>
                <w:color w:val="000000"/>
                <w:sz w:val="24"/>
                <w:highlight w:val="none"/>
              </w:rPr>
              <w:t xml:space="preserve">加盖</w:t>
            </w:r>
            <w:r>
              <w:rPr>
                <w:rFonts w:hint="eastAsia"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公章，否则不得分。</w:t>
            </w:r>
            <w:r>
              <w:rPr>
                <w:rFonts w:hint="eastAsia" w:ascii="宋体" w:hAnsi="宋体" w:eastAsia="宋体" w:cs="宋体"/>
                <w:b w:val="0"/>
                <w:bCs w:val="0"/>
                <w:color w:val="000000"/>
                <w:sz w:val="24"/>
                <w:szCs w:val="24"/>
                <w:highlight w:val="none"/>
                <w:lang w:val="en-US" w:eastAsia="zh-CN" w:bidi="ar-SA"/>
              </w:rPr>
            </w:r>
            <w:r/>
          </w:p>
        </w:tc>
      </w:tr>
    </w:tbl>
    <w:p>
      <w:pPr>
        <w:pStyle w:val="110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文件中提供并加盖公章，否则不得分。</w:t>
      </w:r>
      <w:r>
        <w:rPr>
          <w:rFonts w:hint="eastAsia" w:ascii="宋体" w:hAnsi="宋体" w:eastAsia="宋体" w:cs="宋体"/>
          <w:bCs/>
          <w:color w:val="000000"/>
          <w:sz w:val="24"/>
          <w:szCs w:val="24"/>
          <w:highlight w:val="none"/>
        </w:rPr>
      </w:r>
      <w:r/>
    </w:p>
    <w:p>
      <w:pPr>
        <w:pStyle w:val="1107"/>
        <w:contextualSpacing/>
        <w:ind w:firstLine="480"/>
        <w:keepLines w:val="0"/>
        <w:keepNext w:val="0"/>
        <w:pageBreakBefore w:val="0"/>
        <w:spacing w:line="360" w:lineRule="auto"/>
        <w:widowControl w:val="off"/>
        <w:rPr>
          <w:rFonts w:hint="eastAsia"/>
          <w:color w:val="000000"/>
          <w:highlight w:val="none"/>
          <w:lang w:val="en-US" w:eastAsia="zh-CN"/>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color w:val="000000"/>
          <w:highlight w:val="none"/>
          <w:lang w:val="en-US" w:eastAsia="zh-CN"/>
        </w:rPr>
      </w:r>
      <w:r/>
    </w:p>
    <w:p>
      <w:pPr>
        <w:pStyle w:val="1123"/>
        <w:rPr>
          <w:rFonts w:hint="eastAsia"/>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color w:val="000000"/>
          <w:highlight w:val="none"/>
          <w:lang w:val="en-US" w:eastAsia="zh-CN"/>
        </w:rPr>
      </w:r>
      <w:r/>
    </w:p>
    <w:p>
      <w:pPr>
        <w:pStyle w:val="1107"/>
        <w:jc w:val="center"/>
        <w:spacing w:line="360" w:lineRule="auto"/>
        <w:rPr>
          <w:b/>
          <w:color w:val="000000"/>
          <w:sz w:val="36"/>
          <w:szCs w:val="36"/>
          <w:highlight w:val="none"/>
        </w:rPr>
        <w:outlineLvl w:val="0"/>
      </w:pPr>
      <w:r/>
      <w:bookmarkStart w:id="811" w:name="_Toc99301424"/>
      <w:r/>
      <w:bookmarkStart w:id="812" w:name="_Toc29962"/>
      <w:r>
        <w:rPr>
          <w:b/>
          <w:color w:val="000000"/>
          <w:sz w:val="36"/>
          <w:szCs w:val="36"/>
          <w:highlight w:val="none"/>
        </w:rPr>
        <w:t xml:space="preserve">第五章   采购需求</w:t>
      </w:r>
      <w:bookmarkEnd w:id="811"/>
      <w:r/>
      <w:bookmarkEnd w:id="812"/>
      <w:r>
        <w:rPr>
          <w:b/>
          <w:color w:val="000000"/>
          <w:sz w:val="36"/>
          <w:szCs w:val="36"/>
          <w:highlight w:val="none"/>
        </w:rPr>
      </w:r>
      <w:r/>
    </w:p>
    <w:p>
      <w:pPr>
        <w:pStyle w:val="1107"/>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bookmarkStart w:id="813" w:name="_Toc99301426"/>
      <w:r/>
      <w:bookmarkStart w:id="814" w:name="_Toc18832"/>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1107"/>
        <w:ind w:firstLine="488"/>
        <w:keepLines w:val="0"/>
        <w:keepNext w:val="0"/>
        <w:pageBreakBefore w:val="0"/>
        <w:spacing w:line="360" w:lineRule="auto"/>
        <w:widowControl w:val="off"/>
        <w:rPr>
          <w:rFonts w:hint="eastAsia" w:ascii="宋体" w:hAnsi="宋体" w:cs="宋体"/>
          <w:color w:val="000000"/>
          <w:spacing w:val="2"/>
          <w:sz w:val="24"/>
          <w:szCs w:val="24"/>
          <w:highlight w:val="none"/>
          <w:u w:val="none"/>
          <w:lang w:eastAsia="zh-CN"/>
        </w:rPr>
        <w:outlineLvl w:val="9"/>
      </w:pPr>
      <w:r>
        <w:rPr>
          <w:rFonts w:hint="eastAsia" w:ascii="宋体" w:hAnsi="宋体" w:cs="宋体"/>
          <w:color w:val="000000"/>
          <w:spacing w:val="2"/>
          <w:sz w:val="24"/>
          <w:szCs w:val="24"/>
          <w:highlight w:val="none"/>
          <w:u w:val="none"/>
          <w:lang w:val="en-US" w:eastAsia="zh-CN"/>
        </w:rPr>
        <w:t xml:space="preserve">1</w:t>
      </w:r>
      <w:r>
        <w:rPr>
          <w:rFonts w:hint="eastAsia" w:ascii="宋体" w:hAnsi="宋体" w:cs="宋体"/>
          <w:color w:val="000000"/>
          <w:spacing w:val="2"/>
          <w:sz w:val="24"/>
          <w:szCs w:val="24"/>
          <w:highlight w:val="none"/>
          <w:u w:val="none"/>
          <w:lang w:eastAsia="zh-CN"/>
        </w:rPr>
        <w:t xml:space="preserve">.项目内容：</w:t>
      </w:r>
      <w:r>
        <w:rPr>
          <w:rFonts w:hint="eastAsia" w:ascii="宋体" w:hAnsi="宋体" w:cs="宋体"/>
          <w:color w:val="000000"/>
          <w:sz w:val="24"/>
          <w:szCs w:val="24"/>
          <w:highlight w:val="none"/>
          <w:lang w:eastAsia="zh-CN"/>
        </w:rPr>
        <w:t xml:space="preserve">为满足滨开区新材料产业园智慧监管平台基础设备设施稳定运行，通过采购网络安全风险评估及维护服务、信息化基础设备运维服务、安防设施运维服务、通讯系统运维服务、其他专项服务，服务操作必须规范，必须符合国家和地方相关法律法规、规范，通过本次项目的实施进一步完善智慧化工园区硬件设备和网络运行维护技术保障体系，为智慧化工园区系统运行提供安全可靠地物理保障，为园区监管奠定坚实的基础。</w:t>
      </w:r>
      <w:r>
        <w:rPr>
          <w:rFonts w:hint="eastAsia" w:ascii="宋体" w:hAnsi="宋体" w:cs="宋体"/>
          <w:color w:val="000000"/>
          <w:spacing w:val="2"/>
          <w:sz w:val="24"/>
          <w:szCs w:val="24"/>
          <w:highlight w:val="none"/>
          <w:u w:val="none"/>
          <w:lang w:eastAsia="zh-CN"/>
        </w:rPr>
      </w:r>
      <w:r/>
    </w:p>
    <w:p>
      <w:pPr>
        <w:pStyle w:val="1107"/>
        <w:ind w:firstLine="488"/>
        <w:keepLines w:val="0"/>
        <w:keepNext w:val="0"/>
        <w:pageBreakBefore w:val="0"/>
        <w:spacing w:line="360" w:lineRule="auto"/>
        <w:widowControl w:val="off"/>
        <w:rPr>
          <w:rFonts w:hint="eastAsia" w:ascii="宋体" w:hAnsi="宋体" w:cs="宋体"/>
          <w:color w:val="000000"/>
          <w:spacing w:val="2"/>
          <w:sz w:val="24"/>
          <w:szCs w:val="24"/>
          <w:highlight w:val="none"/>
          <w:u w:val="none"/>
          <w:lang w:eastAsia="zh-CN"/>
        </w:rPr>
        <w:outlineLvl w:val="9"/>
      </w:pPr>
      <w:r>
        <w:rPr>
          <w:rFonts w:hint="eastAsia" w:ascii="宋体" w:hAnsi="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eastAsia="zh-CN"/>
        </w:rPr>
        <w:t xml:space="preserve">.项目地点：江苏常州滨江经济开发区管理委员会</w:t>
      </w:r>
      <w:r>
        <w:rPr>
          <w:rFonts w:hint="eastAsia" w:ascii="宋体" w:hAnsi="宋体" w:cs="宋体"/>
          <w:color w:val="000000"/>
          <w:spacing w:val="2"/>
          <w:sz w:val="24"/>
          <w:szCs w:val="24"/>
          <w:highlight w:val="none"/>
          <w:u w:val="none"/>
          <w:lang w:eastAsia="zh-CN"/>
        </w:rPr>
      </w:r>
      <w:r/>
    </w:p>
    <w:p>
      <w:pPr>
        <w:pStyle w:val="1107"/>
        <w:ind w:firstLine="488"/>
        <w:keepLines w:val="0"/>
        <w:keepNext w:val="0"/>
        <w:pageBreakBefore w:val="0"/>
        <w:spacing w:line="360" w:lineRule="auto"/>
        <w:widowControl w:val="off"/>
        <w:rPr>
          <w:rFonts w:ascii="宋体" w:hAnsi="宋体" w:cs="宋体"/>
          <w:color w:val="000000"/>
          <w:spacing w:val="2"/>
          <w:sz w:val="24"/>
          <w:szCs w:val="24"/>
          <w:highlight w:val="none"/>
          <w:u w:val="none"/>
          <w:lang w:val="en-US" w:eastAsia="zh-CN"/>
        </w:rPr>
        <w:outlineLvl w:val="9"/>
      </w:pPr>
      <w:r>
        <w:rPr>
          <w:rFonts w:hint="eastAsia" w:ascii="宋体" w:hAnsi="宋体" w:cs="宋体"/>
          <w:color w:val="000000"/>
          <w:spacing w:val="2"/>
          <w:sz w:val="24"/>
          <w:szCs w:val="24"/>
          <w:highlight w:val="none"/>
          <w:u w:val="none"/>
          <w:lang w:val="en-US" w:eastAsia="zh-CN"/>
        </w:rPr>
        <w:t xml:space="preserve">3.响应时效：网络安全、设备、安防、通讯等各类故障的响应时限（一般故障≤1小时，重大故障≤30分钟），且有明确的响应流程和责任分工。</w:t>
      </w:r>
      <w:r>
        <w:rPr>
          <w:rFonts w:ascii="宋体" w:hAnsi="宋体" w:cs="宋体"/>
          <w:color w:val="000000"/>
          <w:spacing w:val="2"/>
          <w:sz w:val="24"/>
          <w:szCs w:val="24"/>
          <w:highlight w:val="none"/>
          <w:u w:val="none"/>
          <w:lang w:val="en-US" w:eastAsia="zh-CN"/>
        </w:rPr>
      </w:r>
      <w:r/>
    </w:p>
    <w:p>
      <w:pPr>
        <w:pStyle w:val="1107"/>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1107"/>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rPr>
      </w:r>
      <w:r/>
    </w:p>
    <w:p>
      <w:pPr>
        <w:pStyle w:val="110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自合同签订之日起一年。</w:t>
      </w:r>
      <w:r>
        <w:rPr>
          <w:rFonts w:hint="eastAsia" w:ascii="宋体" w:hAnsi="宋体" w:eastAsia="宋体" w:cs="宋体"/>
          <w:bCs/>
          <w:color w:val="000000"/>
          <w:sz w:val="24"/>
          <w:szCs w:val="24"/>
          <w:highlight w:val="none"/>
          <w:lang w:val="en-US" w:eastAsia="zh-CN"/>
        </w:rPr>
      </w:r>
      <w:r/>
    </w:p>
    <w:p>
      <w:pPr>
        <w:pStyle w:val="1107"/>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2.付款方式</w:t>
      </w:r>
      <w:r>
        <w:rPr>
          <w:rFonts w:hint="eastAsia" w:ascii="宋体" w:hAnsi="宋体" w:eastAsia="宋体" w:cs="宋体"/>
          <w:b/>
          <w:bCs w:val="0"/>
          <w:color w:val="000000"/>
          <w:sz w:val="24"/>
          <w:szCs w:val="24"/>
          <w:highlight w:val="none"/>
          <w:lang w:val="en-US" w:eastAsia="zh-CN"/>
        </w:rPr>
      </w:r>
      <w:r/>
    </w:p>
    <w:p>
      <w:pPr>
        <w:pStyle w:val="1107"/>
        <w:contextualSpacing/>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自合同签订之日起开始维保服务，前三季度每个季度考核合格后支付合同价的25%，第四季度结束后支付审定价的尾款。</w:t>
      </w:r>
      <w:r>
        <w:rPr>
          <w:rFonts w:hint="eastAsia" w:ascii="宋体" w:hAnsi="宋体" w:cs="宋体"/>
          <w:bCs/>
          <w:color w:val="000000"/>
          <w:sz w:val="24"/>
          <w:szCs w:val="24"/>
          <w:highlight w:val="none"/>
          <w:lang w:val="en-US" w:eastAsia="zh-CN"/>
        </w:rPr>
      </w:r>
      <w:r/>
    </w:p>
    <w:p>
      <w:pPr>
        <w:pStyle w:val="1107"/>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lang w:val="en-US" w:eastAsia="zh-CN"/>
        </w:rPr>
        <w:t xml:space="preserve">项目内容</w:t>
      </w:r>
      <w:r>
        <w:rPr>
          <w:rFonts w:ascii="宋体" w:hAnsi="宋体" w:eastAsia="宋体" w:cs="宋体"/>
          <w:b/>
          <w:bCs/>
          <w:color w:val="000000"/>
          <w:sz w:val="24"/>
          <w:szCs w:val="24"/>
          <w:highlight w:val="none"/>
          <w:lang w:val="en-US" w:eastAsia="zh-CN"/>
        </w:rPr>
      </w:r>
      <w:r/>
    </w:p>
    <w:p>
      <w:pPr>
        <w:pStyle w:val="110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网络安全风险评估及维护服务</w:t>
      </w:r>
      <w:r>
        <w:rPr>
          <w:rFonts w:hint="eastAsia" w:ascii="宋体" w:hAnsi="宋体"/>
          <w:color w:val="000000"/>
          <w:sz w:val="24"/>
          <w:szCs w:val="24"/>
          <w:highlight w:val="none"/>
        </w:rPr>
      </w:r>
      <w:r/>
    </w:p>
    <w:p>
      <w:pPr>
        <w:pStyle w:val="110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基于智慧监管平台现有网络环境确保系统稳定运行，每年开展1次信息安全风险评估服务季度网络安全维护服务工作；每季度开展一次系统网络安全渗透测试和漏洞扫描服务、安全巡检服务，涵盖渗透测试、漏洞管理及日常安全运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宋体" w:hAnsi="宋体"/>
          <w:color w:val="000000"/>
          <w:sz w:val="24"/>
          <w:szCs w:val="24"/>
          <w:highlight w:val="none"/>
        </w:rPr>
        <w:t xml:space="preserve">重大活动网络安全保障。</w:t>
      </w:r>
      <w:r>
        <w:rPr>
          <w:rFonts w:hint="eastAsia" w:ascii="宋体" w:hAnsi="宋体"/>
          <w:color w:val="000000"/>
          <w:sz w:val="24"/>
          <w:szCs w:val="24"/>
          <w:highlight w:val="none"/>
        </w:rPr>
      </w:r>
      <w:r/>
    </w:p>
    <w:p>
      <w:pPr>
        <w:pStyle w:val="110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信息化基础设备运维服务</w:t>
      </w:r>
      <w:r>
        <w:rPr>
          <w:rFonts w:hint="eastAsia" w:ascii="宋体" w:hAnsi="宋体"/>
          <w:color w:val="000000"/>
          <w:sz w:val="24"/>
          <w:szCs w:val="24"/>
          <w:highlight w:val="none"/>
        </w:rPr>
      </w:r>
      <w:r/>
    </w:p>
    <w:p>
      <w:pPr>
        <w:pStyle w:val="1107"/>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开展信息化设备日常巡检、常规维护及故障应急处置，保障信息化系统与网络设施的全天候平稳运行，确保问题得到及时高效响应与解决。服务期内因涉及更换或新增设备需提供保障项目维护期内费用说明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包含但不限于</w:t>
      </w:r>
      <w:r>
        <w:rPr>
          <w:rFonts w:hint="eastAsia" w:ascii="宋体" w:hAnsi="宋体"/>
          <w:color w:val="000000"/>
          <w:sz w:val="24"/>
          <w:szCs w:val="24"/>
          <w:highlight w:val="none"/>
        </w:rPr>
        <w:t xml:space="preserve">采购单及发票等佐证材料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ascii="宋体" w:hAnsi="宋体" w:cs="宋体"/>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4714"/>
        <w:gridCol w:w="797"/>
        <w:gridCol w:w="922"/>
        <w:gridCol w:w="1321"/>
      </w:tblGrid>
      <w:tr>
        <w:trPr>
          <w:trHeight w:val="575"/>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rPr>
                <w:rFonts w:hint="eastAsia" w:ascii="宋体" w:hAnsi="宋体" w:eastAsia="宋体" w:cs="宋体"/>
                <w:b/>
                <w:bCs/>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物理位置</w:t>
            </w:r>
            <w:r>
              <w:rPr>
                <w:rFonts w:hint="eastAsia" w:ascii="宋体" w:hAnsi="宋体" w:eastAsia="宋体" w:cs="宋体"/>
                <w:b/>
                <w:bCs/>
                <w:i w:val="0"/>
                <w:iCs w:val="0"/>
                <w:color w:val="000000"/>
                <w:sz w:val="24"/>
                <w:szCs w:val="24"/>
                <w:u w:val="none"/>
              </w:rPr>
            </w:r>
            <w:r/>
          </w:p>
        </w:tc>
      </w:tr>
      <w:tr>
        <w:trPr>
          <w:trHeight w:val="57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应用服务器</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2U  R740XD  金牌 6130  2.1GHz 16核/32GB*2/2.4TB SAS 10K*3/H730P+ 2G/750W冗电/导轨/3年保修  热插拔12*3.5寸机箱，内存为三星品牌。</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7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应用服务器</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1U R230  E3-1225v6 3.3GHz 4核/8GB/1T SATA 7.2K入门级/250W/静态导轨/3年保修 非热插拔4*3.5寸机箱</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7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安全网关</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2个万M光口，4个千M光口，12个千M电口；防火墙吞吐量3.4G，最大并发链接175万， VPN吞吐量1.5G。</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7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安全网关</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2个万M光口，6个千M光口，12个千M电口；防火墙吞吐量4G，最大并发链接175万， VPN吞吐量2G。</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5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安全网关</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2个千兆光口，4个千M光口，12个千M电；防火墙吞吐量1G，最大并发链接75万， VPN吞吐量700M。</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5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安全网关</w:t>
            </w:r>
            <w:r>
              <w:rPr>
                <w:rFonts w:hint="eastAsia" w:ascii="宋体" w:hAnsi="宋体" w:eastAsia="宋体" w:cs="宋体"/>
                <w:i w:val="0"/>
                <w:iCs w:val="0"/>
                <w:color w:val="000000"/>
                <w:sz w:val="24"/>
                <w:szCs w:val="24"/>
                <w:u w:val="none"/>
              </w:rPr>
            </w:r>
            <w:r/>
          </w:p>
        </w:tc>
        <w:tc>
          <w:tcPr>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4个千M电口；防火墙吞吐量1G，最大并发链接20万。</w:t>
            </w:r>
            <w:r>
              <w:rPr>
                <w:rFonts w:hint="eastAsia" w:ascii="宋体" w:hAnsi="宋体" w:eastAsia="宋体" w:cs="宋体"/>
                <w:i w:val="0"/>
                <w:iCs w:val="0"/>
                <w:color w:val="000000"/>
                <w:sz w:val="24"/>
                <w:szCs w:val="24"/>
                <w:u w:val="none"/>
              </w:rPr>
            </w:r>
            <w:r/>
          </w:p>
        </w:tc>
        <w:tc>
          <w:tcPr>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90"/>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核心交换机</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总装机箱，两个主控引擎板，一个48口光口板，一个48口电口板，两个电源模块，软件授权，12个光模块组成。</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825"/>
        </w:trPr>
        <w:tc>
          <w:tcPr>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核心交换机</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24个千兆SFP,4个复用的10/100/1000Base-T以太网端口Combo,单子卡槽位,含1个电源</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新北区政府机房、新阳机房</w:t>
            </w:r>
            <w:r>
              <w:rPr>
                <w:rFonts w:hint="eastAsia" w:ascii="宋体" w:hAnsi="宋体" w:eastAsia="宋体" w:cs="宋体"/>
                <w:i w:val="0"/>
                <w:iCs w:val="0"/>
                <w:color w:val="000000"/>
                <w:sz w:val="24"/>
                <w:szCs w:val="24"/>
                <w:u w:val="none"/>
              </w:rPr>
            </w:r>
            <w:r/>
          </w:p>
        </w:tc>
      </w:tr>
      <w:tr>
        <w:trPr>
          <w:trHeight w:val="825"/>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接入交换机</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24个10/100/1000Base-T以太网端口，4个千兆SFP，交流供电</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新北区政府机房、企业港</w:t>
            </w:r>
            <w:r>
              <w:rPr>
                <w:rFonts w:hint="eastAsia" w:ascii="宋体" w:hAnsi="宋体" w:eastAsia="宋体" w:cs="宋体"/>
                <w:i w:val="0"/>
                <w:iCs w:val="0"/>
                <w:color w:val="000000"/>
                <w:sz w:val="24"/>
                <w:szCs w:val="24"/>
                <w:u w:val="none"/>
              </w:rPr>
            </w:r>
            <w:r/>
          </w:p>
        </w:tc>
      </w:tr>
      <w:tr>
        <w:trPr>
          <w:trHeight w:val="590"/>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堡垒机</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机架式设备，最大支持字符会话≥600路或图形会话并发≥200路；实配千兆电口≥6个，万兆光口≥2个，千兆光口≥2个，可用接口板扩展槽≥2个；Console管理口≥1个，存储容量≥4TB，内存≥8G，实配液晶面板，实配资源授权无限制，用户数无限制。实配应用发布软件；</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90"/>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数据库审计</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机架式设备，单电源；吞吐量≥2Gbps，可审计流量≥140Mbps，每秒入库速度≥6000条，日处理事件数≥8000万条；实配千兆电接口≥6个，可用接口扩展槽≥1个，RJ45串口≥1个，USB接口≥2个，硬盘≥2T，内存≥8G，支持主流数据库如Oracle、SQL-Server、MySQL、达梦、人大金仓等数据库的审计，同时具备基础网络协议如HTTP、Telnet等协议的审计功能，实配被审计数据库服务数≥10个</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90"/>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日志审计</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标准机架式设备，单电源；日志处理性能≥2500EPS，实配千兆电口≥6个，千兆光口≥2个，可用接口板扩展槽位≥1个，支持扩展万兆接口，USB接口≥2个，存储容量≥2TB HDD+32G SSD，HDD支持扩展至8TB。内存≥16G；系统内置数据库，无需单独安装或购买数据库；实配审计对象授权≥30个；</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288"/>
        </w:trPr>
        <w:tc>
          <w:tcPr>
            <w:shd w:val="clear" w:color="auto" w:fill="ffffff"/>
            <w:tcW w:w="82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运管平台</w:t>
            </w:r>
            <w:r>
              <w:rPr>
                <w:rFonts w:hint="eastAsia" w:ascii="宋体" w:hAnsi="宋体" w:eastAsia="宋体" w:cs="宋体"/>
                <w:i w:val="0"/>
                <w:iCs w:val="0"/>
                <w:color w:val="000000"/>
                <w:sz w:val="24"/>
                <w:szCs w:val="24"/>
                <w:u w:val="none"/>
              </w:rPr>
            </w:r>
            <w:r/>
          </w:p>
        </w:tc>
        <w:tc>
          <w:tcPr>
            <w:shd w:val="clear" w:color="auto" w:fill="ffffff"/>
            <w:tcW w:w="25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海康最新运管平台ISC，功能：视频整合、智能分析。</w:t>
            </w:r>
            <w:r>
              <w:rPr>
                <w:rFonts w:hint="eastAsia" w:ascii="宋体" w:hAnsi="宋体" w:eastAsia="宋体" w:cs="宋体"/>
                <w:i w:val="0"/>
                <w:iCs w:val="0"/>
                <w:color w:val="000000"/>
                <w:sz w:val="24"/>
                <w:szCs w:val="24"/>
                <w:u w:val="none"/>
              </w:rPr>
            </w:r>
            <w:r/>
          </w:p>
        </w:tc>
        <w:tc>
          <w:tcPr>
            <w:shd w:val="clear" w:color="auto" w:fill="ffffff"/>
            <w:tcW w:w="42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1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电信机房</w:t>
            </w:r>
            <w:r>
              <w:rPr>
                <w:rFonts w:hint="eastAsia" w:ascii="宋体" w:hAnsi="宋体" w:eastAsia="宋体" w:cs="宋体"/>
                <w:i w:val="0"/>
                <w:iCs w:val="0"/>
                <w:color w:val="000000"/>
                <w:sz w:val="24"/>
                <w:szCs w:val="24"/>
                <w:u w:val="none"/>
              </w:rPr>
            </w:r>
            <w:r/>
          </w:p>
        </w:tc>
      </w:tr>
    </w:tbl>
    <w:p>
      <w:pPr>
        <w:pStyle w:val="1107"/>
        <w:ind w:firstLine="480"/>
        <w:spacing w:line="360" w:lineRule="auto"/>
        <w:rPr>
          <w:rFonts w:hint="eastAsia" w:ascii="宋体" w:hAnsi="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3.安防设施运维服务</w:t>
      </w:r>
      <w:r>
        <w:rPr>
          <w:rFonts w:hint="eastAsia" w:ascii="宋体" w:hAnsi="宋体" w:cs="宋体"/>
          <w:b w:val="0"/>
          <w:bCs/>
          <w:i w:val="0"/>
          <w:iCs w:val="0"/>
          <w:color w:val="000000"/>
          <w:sz w:val="24"/>
          <w:szCs w:val="24"/>
          <w:highlight w:val="none"/>
          <w:lang w:val="en-US" w:eastAsia="zh-CN"/>
        </w:rPr>
      </w:r>
      <w:r/>
    </w:p>
    <w:p>
      <w:pPr>
        <w:pStyle w:val="1107"/>
        <w:ind w:firstLine="480"/>
        <w:spacing w:line="360" w:lineRule="auto"/>
        <w:rPr>
          <w:rFonts w:ascii="宋体" w:hAnsi="宋体" w:cs="宋体"/>
          <w:b/>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开展信息化设备日常巡检、常规维护及故障应急处置，保障信息化系统与网络设施的全天候平稳运行，确保问题得到及时高效响应与解决。</w:t>
      </w:r>
      <w:r>
        <w:rPr>
          <w:rFonts w:hint="eastAsia" w:ascii="宋体" w:hAnsi="宋体"/>
          <w:color w:val="000000"/>
          <w:sz w:val="24"/>
          <w:szCs w:val="24"/>
          <w:highlight w:val="none"/>
        </w:rPr>
        <w:t xml:space="preserve">服务期内因涉及更换或新增设备需提供保障项目维护期内费用说明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包含但不限于</w:t>
      </w:r>
      <w:r>
        <w:rPr>
          <w:rFonts w:hint="eastAsia" w:ascii="宋体" w:hAnsi="宋体"/>
          <w:color w:val="000000"/>
          <w:sz w:val="24"/>
          <w:szCs w:val="24"/>
          <w:highlight w:val="none"/>
        </w:rPr>
        <w:t xml:space="preserve">采购单及发票等佐证材料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ascii="宋体" w:hAnsi="宋体" w:cs="宋体"/>
          <w:b/>
          <w:color w:val="000000"/>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8"/>
        <w:gridCol w:w="4905"/>
        <w:gridCol w:w="811"/>
        <w:gridCol w:w="923"/>
        <w:gridCol w:w="1311"/>
      </w:tblGrid>
      <w:tr>
        <w:trPr>
          <w:trHeight w:val="57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rPr>
                <w:rFonts w:hint="eastAsia" w:ascii="宋体" w:hAnsi="宋体" w:eastAsia="宋体" w:cs="宋体"/>
                <w:b/>
                <w:bCs/>
                <w:i w:val="0"/>
                <w:iCs w:val="0"/>
                <w:color w:val="000000"/>
                <w:sz w:val="24"/>
                <w:szCs w:val="24"/>
                <w:u w:val="none"/>
              </w:rPr>
            </w:r>
            <w:r/>
          </w:p>
        </w:tc>
        <w:tc>
          <w:tcPr>
            <w:shd w:val="clear" w:color="auto" w:fill="ffffff"/>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物理位置</w:t>
            </w:r>
            <w:r>
              <w:rPr>
                <w:rFonts w:hint="eastAsia" w:ascii="宋体" w:hAnsi="宋体" w:eastAsia="宋体" w:cs="宋体"/>
                <w:b/>
                <w:bCs/>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枪型网络摄像机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200万1/2.7"CMOS红外防水ICR日夜型筒型网络摄像机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阵列红外80米，16mm镜头可选，DC12V，背光补偿，120DB光学宽动态，ROI，支持H.264编码，IP67,支持部分智能功能，支持三码流，25%宽电压，6KV防浪涌</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园区卡口</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宏川铁塔</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高清智能球型摄像机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建滔铁塔</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高清智能球型摄像机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新阳楼顶</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200万/30倍光学/超低照度/3D降噪/低码率/ROI/三码流/透雾/强光抑制/Smart IR/电子防抖/智能运动跟踪/越界侦测、区域入侵、人脸侦测、音频侦测、进入区域、离开区域、徘徊、物品遗留、物品拿取、人员聚集、车牌识别/IP66/激光红外500米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朗盛铁塔</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200万/30倍光学/超低照度/3D降噪/低码率/ROI/三码流/透雾/强光抑制/Smart IR/电子防抖/智能运动跟踪/越界侦测、区域入侵、人脸侦测、音频侦测、进入区域、离开区域、徘徊、物品遗留、物品拿取、人员聚集、车牌识别/IP66/激光红外500米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富德铁塔</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武新制药</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沈氏铁塔</w:t>
            </w:r>
            <w:r>
              <w:rPr>
                <w:rFonts w:hint="eastAsia" w:ascii="宋体" w:hAnsi="宋体" w:eastAsia="宋体" w:cs="宋体"/>
                <w:i w:val="0"/>
                <w:iCs w:val="0"/>
                <w:color w:val="000000"/>
                <w:sz w:val="24"/>
                <w:szCs w:val="24"/>
                <w:u w:val="none"/>
              </w:rPr>
            </w:r>
            <w:r/>
          </w:p>
        </w:tc>
      </w:tr>
      <w:tr>
        <w:trPr>
          <w:trHeight w:val="1153"/>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400万像素7寸32倍红外网络高清智能球机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 5.9~188.8 mm，32倍光学变倍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视场角: 57.4°~2.3°（广角~望远）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红外照射距离: 150m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主码流帧率分辨率: 50 Hz：25 fps（2560 × 1440）；60 Hz：24 fps（2560 × 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视频压缩标准: H.265，H.264，MJPEG</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新湖铁塔</w:t>
            </w:r>
            <w:r>
              <w:rPr>
                <w:rFonts w:hint="eastAsia" w:ascii="宋体" w:hAnsi="宋体" w:eastAsia="宋体" w:cs="宋体"/>
                <w:i w:val="0"/>
                <w:iCs w:val="0"/>
                <w:color w:val="000000"/>
                <w:sz w:val="24"/>
                <w:szCs w:val="24"/>
                <w:u w:val="none"/>
              </w:rPr>
            </w:r>
            <w:r/>
          </w:p>
        </w:tc>
      </w:tr>
      <w:tr>
        <w:trPr>
          <w:trHeight w:val="1153"/>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400万像素7寸32倍红外网络高清智能球机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 5.9~188.8 mm，32倍光学变倍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视场角: 57.4°~2.3°（广角~望远）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红外照射距离: 150m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主码流帧率分辨率: 50 Hz：25 fps（2560 × 1440）；60 Hz：24 fps（2560 × 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视频压缩标准: H.265，H.264，MJPEG</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新东铁塔</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高清智能球形摄像机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400万像素7寸32倍红外网络高清智能球机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 5.9~188.8 mm，32倍光学变倍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视场角: 57.4°~2.3°（广角~望远）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红外照射距离: 150m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主码流帧率分辨率: 50 Hz：25 fps（2560 × 1440）；60 Hz：24 fps（2560 × 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视频压缩标准: H.265，H.264，MJPEG</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科创高空</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高清智能球型摄像机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after="22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400万25倍大模型智能球_雨刷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传感器类型：1/1.8"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最低照度：彩色：0.0005 Lux @（F1.5，AGC ON）；黑白：0.0001 Lux @（F1.5，AGC ON）；0 Lux with light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焦距：5.9-147.5mm，25倍光学变倍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视场角：59.8-2.7度(广角-望远)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补光灯类型：混合光（红外+白光）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补光灯距离：红外照射距离：最远可达200 m，白光照射距离：最远可达30 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防补光过曝：支持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水平范围：360°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垂直范围：-15°-90°(自动翻转)</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水平速度：水平键控速度：0.1°-160°/s,速度可设;水平预置点速度：240°/s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垂直速度：垂直键控速度：0.1°-120°/s,速度可设;垂直预置点速度：200°/s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主码流帧率分辨率：50 Hz：25 fps（2688 × 1520 ,  2560 × 1440，1920 × 1080，1280 × 960，1280 × 720）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60 Hz：30 fps（2688 × 1520 , 2560 × 1440，1920 × 1080，1280 × 960，1280 × 720）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视频压缩标准：H.265，H.264，MJPEG，Smart264，Smart265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宽动态：120 dB超宽动态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网络接口：RJ45网口;自适应10M/100M网络数据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SD卡扩展：内置MicroSD/MicroSDHC/MicroSDXC 插槽，最大支持512 GB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报警：2路报警输入，1路报警输出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音频：1路音频输入，音频峰值：2-2.4V[p-p]，输入阻抗：1 kΩ±10%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1路音频输出，线性电平，阻抗：600 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RS-485：采用半双工模式，支持自适应HIKVISION，PELCO-P和PELCO-D（可添加）协议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电源：供电方式：DC：36 V，1.67 A</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最大功耗：30 W（其中加热最大功耗3.5 W，补光灯最大功耗4.2 W）</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雨刷：支持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工作温湿度：-30 °C~65 °C；湿度小于95%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尺寸：Ø218.4 × 324.2 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重量：4.2 kg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防护：IP66；符合GB/T 17626.5 认证标准</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光大北</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高清智能球型摄像机</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200万一体化星光级网络激光红外高清云台摄像机；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支持最低照度可达0.005Lux/F1.5(彩色)，0.0005Lux/F1.5(黑白)；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焦距：6-186mm，31倍光学；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激光500m；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支持自动聚焦、透雾、3D定位、守望、掉电记忆、巡航、方位显示、定时任务、音频报警、智能雨刷、清晰度；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水平0~360°旋转，水平速度0.1°/S~100°/S；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垂直+40°~-90°，垂直速度0.1°/S~40°/S；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电源：AC24V，110W max；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支持IP66；</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工作温度范围可达-40℃-70℃。</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光大东</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高清智能球型摄像机</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200万/20倍光学/支持H.265兼容H.264/超低照度/3D降噪/低码率/ROI/透雾/强光抑制/Smart IR/音频/报警/IP66/红外150米</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光大南和西</w:t>
            </w:r>
            <w:r>
              <w:rPr>
                <w:rFonts w:hint="eastAsia" w:ascii="宋体" w:hAnsi="宋体" w:eastAsia="宋体" w:cs="宋体"/>
                <w:i w:val="0"/>
                <w:iCs w:val="0"/>
                <w:color w:val="000000"/>
                <w:sz w:val="24"/>
                <w:szCs w:val="24"/>
                <w:u w:val="none"/>
              </w:rPr>
            </w:r>
            <w:r/>
          </w:p>
        </w:tc>
      </w:tr>
      <w:tr>
        <w:trPr>
          <w:trHeight w:val="86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高空云台</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200万一体化星光级网络激光红外高清云台摄像机；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支持最低照度可达0.005Lux/F1.5(彩色)，0.0005Lux/F1.5(黑白)；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焦距：6-186mm，31倍光学；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激光500m；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支持自动聚焦、透雾、3D定位、守望、掉电记忆、巡航、方位显示、定时任务、音频报警、智能雨刷、清晰度；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水平0~360°旋转，水平速度0.1°/S~100°/S；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垂直+40°~-90°，垂直速度0.1°/S~40°/S；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电源：AC24V，110W max；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支持IP66；</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工作温度范围可达-40℃-70℃。</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新港烟囱</w:t>
            </w:r>
            <w:r>
              <w:rPr>
                <w:rFonts w:hint="eastAsia" w:ascii="宋体" w:hAnsi="宋体" w:eastAsia="宋体" w:cs="宋体"/>
                <w:i w:val="0"/>
                <w:iCs w:val="0"/>
                <w:color w:val="000000"/>
                <w:sz w:val="24"/>
                <w:szCs w:val="24"/>
                <w:u w:val="none"/>
              </w:rPr>
            </w:r>
            <w:r/>
          </w:p>
        </w:tc>
      </w:tr>
      <w:tr>
        <w:trPr>
          <w:trHeight w:val="1440"/>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高空云台</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after="22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海康威视全彩双目云台摄像机，采用双通道设计，兼顾全景细节；传感器类型：【全景】1/1.8"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【细节】1/1.8"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最低照度：【全景】彩色：0.0005 Lux @（F1.0，AGC ON）；</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【细节】彩色：0.005 Lux @（F1.2，AGC ON），黑白：0.001 Lux @（F1.2，AGC ON）)；0 Lux with IR</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变倍：【细节】32 × 光学变倍，16 × 数字变倍；</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新港烟囱/新港1</w:t>
            </w:r>
            <w:r>
              <w:rPr>
                <w:rFonts w:hint="eastAsia" w:ascii="宋体" w:hAnsi="宋体" w:eastAsia="宋体" w:cs="宋体"/>
                <w:i w:val="0"/>
                <w:iCs w:val="0"/>
                <w:color w:val="000000"/>
                <w:sz w:val="24"/>
                <w:szCs w:val="24"/>
                <w:u w:val="none"/>
              </w:rPr>
            </w:r>
            <w:r/>
          </w:p>
        </w:tc>
      </w:tr>
      <w:tr>
        <w:trPr>
          <w:trHeight w:val="57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布控云台</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【海康神捕深度学习布控球】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包含：布控球主机、电池（可拆卸）、220V电源适配器、10芯航插转接线、定位天线；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传感器：200W像素，1/2.8" Progressive Scan CMOS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最小照度：彩色：0.05Lux @ (F1.6，AGC ON)，黑白：0.01Lux @(F1.6，AGC ON)</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焦距：4.5-135mm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电子快门：1/1秒 ~ 1/30,000秒</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变倍：光学变倍30倍，数字变倍16倍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水平旋转角度：360°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垂直旋转角度：-15°~90°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存储：支持双SD卡存储，单卡最大支持128GB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网络：全网通，默认单张SIM卡，可定制支持双SIM卡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定位：支持GPS/北斗双模定位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蓝牙：BT4.0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WiFi：802.11a/b/g/n，支持WIFI热点，可通过平板/手机控制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视频编码：H.264、H.265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智能应用：支持人脸抓拍、智能跟踪、移动布控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防护等级：IP66</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重量：约2.8KG（含电池）</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企业港</w:t>
            </w:r>
            <w:r>
              <w:rPr>
                <w:rFonts w:hint="eastAsia" w:ascii="宋体" w:hAnsi="宋体" w:eastAsia="宋体" w:cs="宋体"/>
                <w:i w:val="0"/>
                <w:iCs w:val="0"/>
                <w:color w:val="000000"/>
                <w:sz w:val="24"/>
                <w:szCs w:val="24"/>
                <w:u w:val="none"/>
              </w:rPr>
            </w:r>
            <w:r/>
          </w:p>
        </w:tc>
      </w:tr>
      <w:tr>
        <w:trPr>
          <w:trHeight w:val="57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解码器</w:t>
            </w:r>
            <w:r>
              <w:rPr>
                <w:rFonts w:hint="eastAsia" w:ascii="宋体" w:hAnsi="宋体" w:eastAsia="宋体" w:cs="宋体"/>
                <w:i w:val="0"/>
                <w:iCs w:val="0"/>
                <w:color w:val="000000"/>
                <w:sz w:val="24"/>
                <w:szCs w:val="24"/>
                <w:u w:val="none"/>
              </w:rPr>
            </w:r>
            <w:r/>
          </w:p>
        </w:tc>
        <w:tc>
          <w:tcPr>
            <w:tcW w:w="264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8进8出解码器，HDMI、DVI</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企业港</w:t>
            </w:r>
            <w:r>
              <w:rPr>
                <w:rFonts w:hint="eastAsia" w:ascii="宋体" w:hAnsi="宋体" w:eastAsia="宋体" w:cs="宋体"/>
                <w:i w:val="0"/>
                <w:iCs w:val="0"/>
                <w:color w:val="000000"/>
                <w:sz w:val="24"/>
                <w:szCs w:val="24"/>
                <w:u w:val="none"/>
              </w:rPr>
            </w:r>
            <w:r/>
          </w:p>
        </w:tc>
      </w:tr>
      <w:tr>
        <w:trPr>
          <w:trHeight w:val="57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视频存储磁盘阵列</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48盘位控制器磁盘阵列；1024Mbps接入带宽，2个GE数据口；支持视频流和图片、视频文件进行混合直写存储；8U 机架式48盘位，单控制器、冗余电源、支持SATA硬盘；64位多核处理器，4GB高速缓存（可扩展到32GB）；支持RAID 0、1、3、5、6、10、50，60、JBOD模式；网络协议：RTSP/ONVIF/PSIA/SIP（GB/T28181）/iSCSI/NFS/CIFS/FTP/HTTP/AFP</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575"/>
        </w:trPr>
        <w:tc>
          <w:tcPr>
            <w:shd w:val="clear" w:color="auto" w:fill="ffffff"/>
            <w:tcW w:w="72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视频存储磁盘阵列</w:t>
            </w:r>
            <w:r>
              <w:rPr>
                <w:rFonts w:hint="eastAsia" w:ascii="宋体" w:hAnsi="宋体" w:eastAsia="宋体" w:cs="宋体"/>
                <w:i w:val="0"/>
                <w:iCs w:val="0"/>
                <w:color w:val="000000"/>
                <w:sz w:val="24"/>
                <w:szCs w:val="24"/>
                <w:u w:val="none"/>
              </w:rPr>
            </w:r>
            <w:r/>
          </w:p>
        </w:tc>
        <w:tc>
          <w:tcPr>
            <w:tcW w:w="2640"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48盘位控制器磁盘阵列；1100Mbps接入带宽，2个GE数据口；支持视频流和图片、视频文件进行混合直写存储；8U 机架式48盘位，单控制器、冗余电源、支持SATA硬盘；64位多核处理器，4GB高速缓存（可扩展到32GB）；支持RAID 0、1、3、5、6、10、50，60、JBOD模式；网络协议：RTSP/ONVIF/PSIA/SIP（GB/T28181）/iSCSI/NFS/CIFS/FTP/HTTP/AFP</w:t>
            </w:r>
            <w:r>
              <w:rPr>
                <w:rFonts w:hint="eastAsia" w:ascii="宋体" w:hAnsi="宋体" w:eastAsia="宋体" w:cs="宋体"/>
                <w:i w:val="0"/>
                <w:iCs w:val="0"/>
                <w:color w:val="000000"/>
                <w:sz w:val="24"/>
                <w:szCs w:val="24"/>
                <w:u w:val="none"/>
              </w:rPr>
            </w:r>
            <w:r/>
          </w:p>
        </w:tc>
        <w:tc>
          <w:tcPr>
            <w:shd w:val="clear" w:color="auto" w:fill="ffffff"/>
            <w:tcW w:w="43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96"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bl>
    <w:p>
      <w:pPr>
        <w:pStyle w:val="1107"/>
        <w:ind w:firstLine="48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4.通讯系统运维服务</w:t>
      </w:r>
      <w:r>
        <w:rPr>
          <w:rFonts w:hint="eastAsia" w:ascii="宋体" w:hAnsi="宋体" w:cs="宋体"/>
          <w:b w:val="0"/>
          <w:bCs/>
          <w:color w:val="000000"/>
          <w:sz w:val="24"/>
          <w:szCs w:val="24"/>
          <w:highlight w:val="none"/>
          <w:lang w:val="en-US" w:eastAsia="zh-CN"/>
        </w:rPr>
      </w:r>
      <w:r/>
    </w:p>
    <w:p>
      <w:pPr>
        <w:pStyle w:val="1107"/>
        <w:ind w:firstLine="480"/>
        <w:spacing w:line="360" w:lineRule="auto"/>
        <w:rPr>
          <w:rFonts w:ascii="宋体" w:hAnsi="宋体" w:cs="宋体"/>
          <w:b/>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开展信息化设备日常巡检、常规维护及故障应急处置，保障信息化系统与网络设施的全天候平稳运行，确保问题得到及时高效响应与解决。</w:t>
      </w:r>
      <w:r>
        <w:rPr>
          <w:rFonts w:hint="eastAsia" w:ascii="宋体" w:hAnsi="宋体"/>
          <w:color w:val="000000"/>
          <w:sz w:val="24"/>
          <w:szCs w:val="24"/>
          <w:highlight w:val="none"/>
        </w:rPr>
        <w:t xml:space="preserve">服务期内因涉及更换或新增设备需提供保障项目维护期内费用说明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包含但不限于</w:t>
      </w:r>
      <w:r>
        <w:rPr>
          <w:rFonts w:hint="eastAsia" w:ascii="宋体" w:hAnsi="宋体"/>
          <w:color w:val="000000"/>
          <w:sz w:val="24"/>
          <w:szCs w:val="24"/>
          <w:highlight w:val="none"/>
        </w:rPr>
        <w:t xml:space="preserve">采购单及发票等佐证材料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ascii="宋体" w:hAnsi="宋体" w:cs="宋体"/>
          <w:b/>
          <w:color w:val="000000"/>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5472"/>
        <w:gridCol w:w="812"/>
        <w:gridCol w:w="909"/>
        <w:gridCol w:w="1311"/>
      </w:tblGrid>
      <w:tr>
        <w:trPr>
          <w:trHeight w:val="575"/>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rPr>
                <w:rFonts w:hint="eastAsia" w:ascii="宋体" w:hAnsi="宋体" w:eastAsia="宋体" w:cs="宋体"/>
                <w:b/>
                <w:bCs/>
                <w:i w:val="0"/>
                <w:iCs w:val="0"/>
                <w:color w:val="000000"/>
                <w:sz w:val="24"/>
                <w:szCs w:val="24"/>
                <w:u w:val="none"/>
              </w:rPr>
            </w:r>
            <w:r/>
          </w:p>
        </w:tc>
        <w:tc>
          <w:tcPr>
            <w:shd w:val="clear" w:color="auto" w:fill="ffffff"/>
            <w:tcW w:w="294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物理位置</w:t>
            </w:r>
            <w:r>
              <w:rPr>
                <w:rFonts w:hint="eastAsia" w:ascii="宋体" w:hAnsi="宋体" w:eastAsia="宋体" w:cs="宋体"/>
                <w:b/>
                <w:bCs/>
                <w:i w:val="0"/>
                <w:iCs w:val="0"/>
                <w:color w:val="000000"/>
                <w:sz w:val="24"/>
                <w:szCs w:val="24"/>
                <w:u w:val="none"/>
              </w:rPr>
            </w:r>
            <w:r/>
          </w:p>
        </w:tc>
      </w:tr>
      <w:tr>
        <w:trPr>
          <w:trHeight w:val="288"/>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VPN网关</w:t>
            </w:r>
            <w:r>
              <w:rPr>
                <w:rFonts w:hint="eastAsia" w:ascii="宋体" w:hAnsi="宋体" w:eastAsia="宋体" w:cs="宋体"/>
                <w:i w:val="0"/>
                <w:iCs w:val="0"/>
                <w:color w:val="000000"/>
                <w:sz w:val="24"/>
                <w:szCs w:val="24"/>
                <w:u w:val="none"/>
              </w:rPr>
            </w:r>
            <w:r/>
          </w:p>
        </w:tc>
        <w:tc>
          <w:tcPr>
            <w:tcW w:w="2945"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安全过滤带宽300M，固定接口5x1GbE铜接口，用户数限制10，并发连接数25000，VPNSSL VPN客户端许可证：1（最大10个），IPSec VPN客户端：1（最多5个），认证标准DES，DES, AES (128，192，256位)，MD5，SHA-1，Suite B加密。</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园区企业</w:t>
            </w:r>
            <w:r>
              <w:rPr>
                <w:rFonts w:hint="eastAsia" w:ascii="宋体" w:hAnsi="宋体" w:eastAsia="宋体" w:cs="宋体"/>
                <w:i w:val="0"/>
                <w:iCs w:val="0"/>
                <w:color w:val="000000"/>
                <w:sz w:val="24"/>
                <w:szCs w:val="24"/>
                <w:u w:val="none"/>
              </w:rPr>
            </w:r>
            <w:r/>
          </w:p>
        </w:tc>
      </w:tr>
      <w:tr>
        <w:trPr>
          <w:trHeight w:val="288"/>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光缆系统</w:t>
            </w:r>
            <w:r>
              <w:rPr>
                <w:rFonts w:hint="eastAsia" w:ascii="宋体" w:hAnsi="宋体" w:eastAsia="宋体" w:cs="宋体"/>
                <w:i w:val="0"/>
                <w:iCs w:val="0"/>
                <w:color w:val="000000"/>
                <w:sz w:val="24"/>
                <w:szCs w:val="24"/>
                <w:u w:val="none"/>
              </w:rPr>
            </w:r>
            <w:r/>
          </w:p>
        </w:tc>
        <w:tc>
          <w:tcPr>
            <w:tcW w:w="2945"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户外铠装光缆4-16芯不等。</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公里</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w:t>
            </w:r>
            <w:r>
              <w:rPr>
                <w:rFonts w:hint="eastAsia" w:ascii="宋体" w:hAnsi="宋体" w:eastAsia="宋体" w:cs="宋体"/>
                <w:i w:val="0"/>
                <w:iCs w:val="0"/>
                <w:color w:val="000000"/>
                <w:sz w:val="24"/>
                <w:szCs w:val="24"/>
                <w:u w:val="none"/>
              </w:rPr>
            </w:r>
            <w:r/>
          </w:p>
        </w:tc>
      </w:tr>
      <w:tr>
        <w:trPr>
          <w:trHeight w:val="575"/>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边缘交换机</w:t>
            </w:r>
            <w:r>
              <w:rPr>
                <w:rFonts w:hint="eastAsia" w:ascii="宋体" w:hAnsi="宋体" w:eastAsia="宋体" w:cs="宋体"/>
                <w:i w:val="0"/>
                <w:iCs w:val="0"/>
                <w:color w:val="000000"/>
                <w:sz w:val="24"/>
                <w:szCs w:val="24"/>
                <w:u w:val="none"/>
              </w:rPr>
            </w:r>
            <w:r/>
          </w:p>
        </w:tc>
        <w:tc>
          <w:tcPr>
            <w:tcW w:w="2945"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百兆工业以太网交换机，光电接口。</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w:t>
            </w:r>
            <w:r>
              <w:rPr>
                <w:rFonts w:hint="eastAsia" w:ascii="宋体" w:hAnsi="宋体" w:eastAsia="宋体" w:cs="宋体"/>
                <w:i w:val="0"/>
                <w:iCs w:val="0"/>
                <w:color w:val="000000"/>
                <w:sz w:val="24"/>
                <w:szCs w:val="24"/>
                <w:u w:val="none"/>
              </w:rPr>
            </w:r>
            <w:r/>
          </w:p>
        </w:tc>
      </w:tr>
      <w:tr>
        <w:trPr>
          <w:trHeight w:val="288"/>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无线AP</w:t>
            </w:r>
            <w:r>
              <w:rPr>
                <w:rFonts w:hint="eastAsia" w:ascii="宋体" w:hAnsi="宋体" w:eastAsia="宋体" w:cs="宋体"/>
                <w:i w:val="0"/>
                <w:iCs w:val="0"/>
                <w:color w:val="000000"/>
                <w:sz w:val="24"/>
                <w:szCs w:val="24"/>
                <w:u w:val="none"/>
              </w:rPr>
            </w:r>
            <w:r/>
          </w:p>
        </w:tc>
        <w:tc>
          <w:tcPr>
            <w:tcW w:w="2945"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双频烦千兆网桥，传输距离10KM。</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w:t>
            </w:r>
            <w:r>
              <w:rPr>
                <w:rFonts w:hint="eastAsia" w:ascii="宋体" w:hAnsi="宋体" w:eastAsia="宋体" w:cs="宋体"/>
                <w:i w:val="0"/>
                <w:iCs w:val="0"/>
                <w:color w:val="000000"/>
                <w:sz w:val="24"/>
                <w:szCs w:val="24"/>
                <w:u w:val="none"/>
              </w:rPr>
            </w:r>
            <w:r/>
          </w:p>
        </w:tc>
      </w:tr>
      <w:tr>
        <w:trPr>
          <w:trHeight w:val="288"/>
        </w:trPr>
        <w:tc>
          <w:tcPr>
            <w:tcW w:w="421"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移动式触控一体机</w:t>
            </w:r>
            <w:r>
              <w:rPr>
                <w:rFonts w:hint="eastAsia" w:ascii="宋体" w:hAnsi="宋体" w:eastAsia="宋体" w:cs="宋体"/>
                <w:i w:val="0"/>
                <w:iCs w:val="0"/>
                <w:color w:val="000000"/>
                <w:sz w:val="24"/>
                <w:szCs w:val="24"/>
                <w:u w:val="none"/>
              </w:rPr>
            </w:r>
            <w:r/>
          </w:p>
        </w:tc>
        <w:tc>
          <w:tcPr>
            <w:tcW w:w="2945"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75"，LED液晶显示屏,红外+电磁双触控，AG顺滑钢化玻璃，标配：电源线</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企业港</w:t>
            </w:r>
            <w:r>
              <w:rPr>
                <w:rFonts w:hint="eastAsia" w:ascii="宋体" w:hAnsi="宋体" w:eastAsia="宋体" w:cs="宋体"/>
                <w:i w:val="0"/>
                <w:iCs w:val="0"/>
                <w:color w:val="000000"/>
                <w:sz w:val="24"/>
                <w:szCs w:val="24"/>
                <w:u w:val="none"/>
              </w:rPr>
            </w:r>
            <w:r/>
          </w:p>
        </w:tc>
      </w:tr>
      <w:tr>
        <w:trPr>
          <w:trHeight w:val="288"/>
        </w:trPr>
        <w:tc>
          <w:tcPr>
            <w:tcW w:w="421"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视频会议终端</w:t>
            </w:r>
            <w:r>
              <w:rPr>
                <w:rFonts w:hint="eastAsia" w:ascii="宋体" w:hAnsi="宋体" w:eastAsia="宋体" w:cs="宋体"/>
                <w:i w:val="0"/>
                <w:iCs w:val="0"/>
                <w:color w:val="000000"/>
                <w:sz w:val="24"/>
                <w:szCs w:val="24"/>
                <w:u w:val="none"/>
              </w:rPr>
            </w:r>
            <w:r/>
          </w:p>
        </w:tc>
        <w:tc>
          <w:tcPr>
            <w:tcW w:w="294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摄像机与主机一体化；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12倍光学变焦；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1080P60帧；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支持H265编解码；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会议电话机（CP960）；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2个有线扩展麦；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WPP20与WF50无线辅流套件；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VCR11遥控器</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企业港</w:t>
            </w:r>
            <w:r>
              <w:rPr>
                <w:rFonts w:hint="eastAsia" w:ascii="宋体" w:hAnsi="宋体" w:eastAsia="宋体" w:cs="宋体"/>
                <w:i w:val="0"/>
                <w:iCs w:val="0"/>
                <w:color w:val="000000"/>
                <w:sz w:val="24"/>
                <w:szCs w:val="24"/>
                <w:u w:val="none"/>
              </w:rPr>
            </w:r>
            <w:r/>
          </w:p>
        </w:tc>
      </w:tr>
      <w:tr>
        <w:trPr>
          <w:trHeight w:val="865"/>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应急广播调度平台</w:t>
            </w:r>
            <w:r>
              <w:rPr>
                <w:rFonts w:hint="eastAsia" w:ascii="宋体" w:hAnsi="宋体" w:eastAsia="宋体" w:cs="宋体"/>
                <w:i w:val="0"/>
                <w:iCs w:val="0"/>
                <w:color w:val="000000"/>
                <w:sz w:val="24"/>
                <w:szCs w:val="24"/>
                <w:u w:val="none"/>
              </w:rPr>
            </w:r>
            <w:r/>
          </w:p>
        </w:tc>
        <w:tc>
          <w:tcPr>
            <w:tcW w:w="294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应用于40台户外广播音柱的调度系统(软件)，实现广播播报控制。同步调动部分对应视频。监控系统上墙。实现视频会议。</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新北区政府机房</w:t>
            </w:r>
            <w:r>
              <w:rPr>
                <w:rFonts w:hint="eastAsia" w:ascii="宋体" w:hAnsi="宋体" w:eastAsia="宋体" w:cs="宋体"/>
                <w:i w:val="0"/>
                <w:iCs w:val="0"/>
                <w:color w:val="000000"/>
                <w:sz w:val="24"/>
                <w:szCs w:val="24"/>
                <w:u w:val="none"/>
              </w:rPr>
            </w:r>
            <w:r/>
          </w:p>
        </w:tc>
      </w:tr>
      <w:tr>
        <w:trPr>
          <w:trHeight w:val="288"/>
        </w:trPr>
        <w:tc>
          <w:tcPr>
            <w:shd w:val="clear" w:color="auto" w:fill="ffffff"/>
            <w:tcW w:w="42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广播音柱</w:t>
            </w:r>
            <w:r>
              <w:rPr>
                <w:rFonts w:hint="eastAsia" w:ascii="宋体" w:hAnsi="宋体" w:eastAsia="宋体" w:cs="宋体"/>
                <w:i w:val="0"/>
                <w:iCs w:val="0"/>
                <w:color w:val="000000"/>
                <w:sz w:val="24"/>
                <w:szCs w:val="24"/>
                <w:u w:val="none"/>
              </w:rPr>
            </w:r>
            <w:r/>
          </w:p>
        </w:tc>
        <w:tc>
          <w:tcPr>
            <w:tcW w:w="294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设备参数：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功率60W；</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SIP接口：10/100Base-TX 自适应 RJ45 接口，收发数据指示；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功耗：静态&lt;300mW</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工作温度：0℃～55℃</w:t>
            </w:r>
            <w:r>
              <w:rPr>
                <w:rFonts w:hint="eastAsia" w:ascii="宋体" w:hAnsi="宋体" w:eastAsia="宋体" w:cs="宋体"/>
                <w:i w:val="0"/>
                <w:iCs w:val="0"/>
                <w:color w:val="000000"/>
                <w:sz w:val="24"/>
                <w:szCs w:val="24"/>
                <w:u w:val="none"/>
              </w:rPr>
            </w:r>
            <w:r/>
          </w:p>
        </w:tc>
        <w:tc>
          <w:tcPr>
            <w:shd w:val="clear" w:color="auto" w:fill="ffffff"/>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shd w:val="clear" w:color="auto" w:fill="ffffff"/>
            <w:tcW w:w="48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shd w:val="clear" w:color="auto" w:fill="ffffff"/>
            <w:tcW w:w="705"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园区内</w:t>
            </w:r>
            <w:r>
              <w:rPr>
                <w:rFonts w:hint="eastAsia" w:ascii="宋体" w:hAnsi="宋体" w:eastAsia="宋体" w:cs="宋体"/>
                <w:i w:val="0"/>
                <w:iCs w:val="0"/>
                <w:color w:val="000000"/>
                <w:sz w:val="24"/>
                <w:szCs w:val="24"/>
                <w:u w:val="none"/>
              </w:rPr>
            </w:r>
            <w:r/>
          </w:p>
        </w:tc>
      </w:tr>
    </w:tbl>
    <w:p>
      <w:pPr>
        <w:pStyle w:val="1107"/>
        <w:ind w:firstLine="48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5.其他专项服务</w:t>
      </w:r>
      <w:r>
        <w:rPr>
          <w:rFonts w:hint="eastAsia" w:ascii="宋体" w:hAnsi="宋体" w:cs="宋体"/>
          <w:b w:val="0"/>
          <w:bCs/>
          <w:color w:val="000000"/>
          <w:sz w:val="24"/>
          <w:szCs w:val="24"/>
          <w:highlight w:val="none"/>
          <w:lang w:val="en-US" w:eastAsia="zh-CN"/>
        </w:rPr>
      </w:r>
      <w:r/>
    </w:p>
    <w:p>
      <w:pPr>
        <w:pStyle w:val="1107"/>
        <w:ind w:firstLine="24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（一）大屏运维服务</w:t>
      </w:r>
      <w:r>
        <w:rPr>
          <w:rFonts w:hint="eastAsia" w:ascii="宋体" w:hAnsi="宋体" w:cs="宋体"/>
          <w:b w:val="0"/>
          <w:bCs/>
          <w:color w:val="000000"/>
          <w:sz w:val="24"/>
          <w:szCs w:val="24"/>
          <w:highlight w:val="none"/>
          <w:lang w:val="en-US" w:eastAsia="zh-CN"/>
        </w:rPr>
      </w:r>
      <w:r/>
    </w:p>
    <w:p>
      <w:pPr>
        <w:pStyle w:val="1107"/>
        <w:ind w:firstLine="48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本项目服务期间提供滨开区新材料产业园智慧园区监管平台监控大屏运维保障服务。</w:t>
      </w:r>
      <w:r>
        <w:rPr>
          <w:rFonts w:hint="eastAsia" w:ascii="宋体" w:hAnsi="宋体"/>
          <w:color w:val="000000"/>
          <w:sz w:val="24"/>
          <w:szCs w:val="24"/>
          <w:highlight w:val="none"/>
        </w:rPr>
        <w:t xml:space="preserve">服务期内因涉及更换或新增设备需提供保障项目维护期内费用说明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包含但不限于</w:t>
      </w:r>
      <w:r>
        <w:rPr>
          <w:rFonts w:hint="eastAsia" w:ascii="宋体" w:hAnsi="宋体"/>
          <w:color w:val="000000"/>
          <w:sz w:val="24"/>
          <w:szCs w:val="24"/>
          <w:highlight w:val="none"/>
        </w:rPr>
        <w:t xml:space="preserve">采购单及发票等佐证材料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s="宋体"/>
          <w:b w:val="0"/>
          <w:bCs/>
          <w:color w:val="000000"/>
          <w:sz w:val="24"/>
          <w:szCs w:val="24"/>
          <w:highlight w:val="none"/>
          <w:lang w:val="en-US" w:eastAsia="zh-CN"/>
        </w:rPr>
      </w:r>
      <w:r/>
    </w:p>
    <w:p>
      <w:pPr>
        <w:pStyle w:val="1107"/>
        <w:ind w:firstLine="24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（二）公共区域道路监控运维服务</w:t>
      </w:r>
      <w:r>
        <w:rPr>
          <w:rFonts w:hint="eastAsia" w:ascii="宋体" w:hAnsi="宋体" w:cs="宋体"/>
          <w:b w:val="0"/>
          <w:bCs/>
          <w:color w:val="000000"/>
          <w:sz w:val="24"/>
          <w:szCs w:val="24"/>
          <w:highlight w:val="none"/>
          <w:lang w:val="en-US" w:eastAsia="zh-CN"/>
        </w:rPr>
      </w:r>
      <w:r/>
    </w:p>
    <w:p>
      <w:pPr>
        <w:pStyle w:val="1107"/>
        <w:ind w:firstLine="480"/>
        <w:spacing w:line="360" w:lineRule="auto"/>
        <w:rPr>
          <w:rFonts w:ascii="宋体" w:hAnsi="宋体" w:cs="宋体"/>
          <w:b/>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提供滨开区新材料产业园封闭式管理监控全区域164路前端监控设备，保障设备7×24小时运行监测，实现全天候智能化监管。</w:t>
      </w:r>
      <w:r>
        <w:rPr>
          <w:rFonts w:hint="eastAsia" w:ascii="宋体" w:hAnsi="宋体"/>
          <w:color w:val="000000"/>
          <w:sz w:val="24"/>
          <w:szCs w:val="24"/>
          <w:highlight w:val="none"/>
        </w:rPr>
        <w:t xml:space="preserve">服务期内因涉及更换或新增设备需提供保障项目维护期内费用说明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包含但不限于</w:t>
      </w:r>
      <w:r>
        <w:rPr>
          <w:rFonts w:hint="eastAsia" w:ascii="宋体" w:hAnsi="宋体"/>
          <w:color w:val="000000"/>
          <w:sz w:val="24"/>
          <w:szCs w:val="24"/>
          <w:highlight w:val="none"/>
        </w:rPr>
        <w:t xml:space="preserve">采购单及发票等佐证材料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ascii="宋体" w:hAnsi="宋体" w:cs="宋体"/>
          <w:b/>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910"/>
        <w:gridCol w:w="5644"/>
        <w:gridCol w:w="910"/>
        <w:gridCol w:w="910"/>
      </w:tblGrid>
      <w:tr>
        <w:trPr>
          <w:trHeight w:val="591"/>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rPr>
                <w:rFonts w:hint="eastAsia" w:ascii="宋体" w:hAnsi="宋体" w:eastAsia="宋体" w:cs="宋体"/>
                <w:b/>
                <w:bCs/>
                <w:i w:val="0"/>
                <w:iCs w:val="0"/>
                <w:color w:val="000000"/>
                <w:sz w:val="24"/>
                <w:szCs w:val="24"/>
                <w:u w:val="none"/>
              </w:rPr>
            </w:r>
            <w:r/>
          </w:p>
        </w:tc>
        <w:tc>
          <w:tcPr>
            <w:tcW w:w="3039"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r>
      <w:tr>
        <w:trPr>
          <w:trHeight w:val="8190"/>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园区360°全景相机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(1)具备AR视频标签添加，修改，删除和标准等系列管理功能，支持添加不少于500个标签；标签类型包括：建筑物视频标签，卡口视频标签，普通视频标签等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(2)具备AR标签防漂移功能，设备调教或者转动时，AR标签与标记物体保持相对静止。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(3)具备AR视频标签联动功能，并可对高-高，高-低，低-高三种标签的位置的视频图像，进行切换预览。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(4)自带镜头，另配8个400W图像采集模块，靶面尺寸为1/1.8''，内置3个GPU，可输出1路主视频图像和8路辅视频图像。可将4个辅视频图像进行无缝拼接，拼接后的辅视频图像：水平视场角为180°，垂直视场角为80°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(5)设备镜头需具备良好的防刮性能，应采用蓝宝石单晶透光片，在使用淬硬的钢针以不小于10牛的作用力，不小于20毫米每秒的速度划痕，钢针移动距离不小于15厘米的情况下，设备透光片无明显划痕且不被刺透。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(6)摄像机全景镜头光圈均不小于F1.0。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(7)摄像机内置除湿器，可对摄像机内部进行除湿，除去玻璃罩上的水状附着物。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(8)主视频图像：2560×1440@25fps，辅视频图像：5520×2400@30fps，其中主视频图像分辨力不小于1600线。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(9)主视频支持不小于45倍光学变倍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(10)彩色：0.0003lux；黑白：0.0001lux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产品支持人员密度功能，支持通过IE浏览器对辅助视频的全景画面设备不少于8个检测框，检测区域人数可通过OSD叠加的形式显示，并且可设置3个等级的人数，当检测框中的人数在3个等级之间变化时可触发报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(12)电源具有较强适应性，电源电压在DC36V±50%范围内变化时，摄像机可以正常工作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(13)具备较好防护性能和环境适应性，支持IP67，10KV防浪涌，工作温度范围可达-50℃-80℃。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(14)红外灯开启时，样机可根据被摄物的距离自动调节红外灯功率密度。红外夜视距离：可识别距离样机800m外人体轮廓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(15)可通过IE浏览器设置8个场景进行人脸抓拍，可设置每个场景的布防时间。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(16)当通过IE浏览器手动点击或框选预览画面中的人脸时，设备能通过PTZ转动将人脸置于画面中心，并对人脸进行抓拍。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(17)可通过IE浏览器实时预览设备抓拍的人脸图片，并可在历史记录中存储不小于100张人脸抓拍图片。</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r>
      <w:tr>
        <w:trPr>
          <w:trHeight w:val="3908"/>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园区卡口高清相机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(1)具有400万像素 CMOS传感器。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(2)内置2颗白光补光灯。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(3)最低照度彩色：0.0004lux。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(4)白天或夜晚均可输出彩色视频图像。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(5)最大分辨率2560x1440。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(6)具有20路取流路数能力，以满足更多用户同时在线访问摄像机视频。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(7)支持三码流技术，可同时输出三路码流，主码流最高2560x1440@30fps，第三码流最大2560x1440 @ 30fps，子码流704x576@30fps。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(8)在2560x1440 @ 25fps下，清晰度不小于1400TVL。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(9)支持H.264、H.265、MJPEG视频编码格式，且具有High Profile编码能力。</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(10)信噪比不小于55dB。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(11)支持8行字符显示，字体颜色可设置，需具有图片叠加到视频画面功能。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(12)具有黑白名单功能，其中白名单可添加不小于10个IP地址。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(13)具备人脸检测、区域入侵检测、越界检测、虚焦检测、进入区域、离开区域、徘徊、人员聚集、逆行、场景变更等功能。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(15)具有电子防抖、ROI感兴趣区域、SVC可伸缩编码、自动增益、背光补偿、数字降噪、强光抑制、走廊模式、视频水印等功能。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(16)摄像机能够在-30~60摄氏度，湿度小于93%环境下稳定工作。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(17)设备与客户端之间用100米网线进行传输，数据包丢包率小于0.1%。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(18)不低于IP67防尘防水等级。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(19)支持DC12V供电，且在不小于DC12V±30%范围内变化时可以正常工作。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(20)设备工作状态时，支持空气放电8kV，接触放电6kV，通讯端口支持6kV峰值电压。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(21)同一静止场景相同图像质量下，设备在H.265编码方式时，开启智能编码功能和不开启智能编码相比，码率节约1/2。</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r>
      <w:tr>
        <w:trPr>
          <w:trHeight w:val="6551"/>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园区道路违停抓拍相机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(1)内置GPU芯片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(2)视频输出支持2560×1440@25fps，分辨力不小于1400TVL，红外距离可达300米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(3)对车辆进入警戒区域后，设备可发出声音警示，并启动智能跟踪功能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(4)设备支持可见光及红外光补光，可见光夜视距离，可识别距设备50m处的人体轮廓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(5)支持最低照度可达彩色0.0003Lux，黑白0.0001Lux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(6)支持水平手控速度不小于550°/S，垂直速度不小于120°/S，云台定位精度为±0.1°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(7)水平旋转范围为360°连续旋转，垂直旋转范围为-20°~90°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(8)支持对镜头前盖玻璃加热，去除玻璃上的冰状和水状附着物。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(9)具备智能分析抗干扰功能，当篮球、小狗、树叶等非人或车辆目标经过检测区域时，不会触发报警。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(10)支持快捷配置功能，可在预览画面开启/关闭“快捷配置”页面，对曝光参数、OSD、智能资源分配模式等参数进行配置，并可一键恢复为默认设置。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(11)支持像素显示功能，可实时显示监控画面上选定区域的水平像素大小和垂直像素大小。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(12)支持300个预置位，可按照所设置的预置位完成不小于8条巡航路径，支持不小于4条模式路径设置，支持预置位视频冻结功能；可实现RS485接口优先或RJ45网络接口优先控制功能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(13)支持智能红外、透雾、强光抑制、电子防抖、数字降噪、防红外过曝功能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(14)支持区域遮盖功能，支持设置不少于24个不规则四边形区域，可设置不同颜色；支持3D定位、断电记忆功能；支持IP地址访问控制功能，支持定时抓拍或报警联动抓图上传ftp功能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(15)球机具备本机存储功能，支持SD卡热插拔，最大支持256GB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(16)支持采用H.265、H.264视频编码标准，H.264编码支持Baseline/Main/High Profile，音频编码支持G.711ulaw/G.711alaw/G.726/G.722.1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(17)支持区域入侵、越界入侵、徘徊、物品移除、物品遗留、人员聚集、停车、快速移动，并联动报警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(18)具备较好的防护性能环境适应性，支持IP67，6kV防浪涌，工作温度范围可达-40℃-70℃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(19)具备较好的电源适应性，电压在AC24V±30%范围内变化时，设备可正常工作。</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r>
      <w:tr>
        <w:trPr>
          <w:trHeight w:val="90"/>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园区道路高清相机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(1)具有400万像素 CMOS传感器。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(2)内置2颗白光补光灯。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(3)最低照度彩色：0.0004lux。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(4)白天或夜晚均可输出彩色视频图像。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(5)最大分辨率2560x1440。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(6)具有20路取流路数能力，以满足更多用户同时在线访问摄像机视频。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(7)支持三码流技术，可同时输出三路码流，主码流最高2560x1440@30fps，第三码流最大2560x1440 @ 30fps，子码流704x576@30fps。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(8)在2560x1440 @ 25fps下，清晰度不小于1400TVL。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(9)支持H.264、H.265、MJPEG视频编码格式，且具有High Profile编码能力。</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(10)信噪比不小于55dB。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(11)支持8行字符显示，字体颜色可设置，需具有图片叠加到视频画面功能。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(12)具有黑白名单功能，其中白名单可添加不小于10个IP地址。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(13)具备人脸检测、区域入侵检测、越界检测、虚焦检测、进入区域、离开区域、徘徊、人员聚集、逆行、场景变更等功能。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(15)具有电子防抖、ROI感兴趣区域、SVC可伸缩编码、自动增益、背光补偿、数字降噪、强光抑制、走廊模式、视频水印等功能。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(16)摄像机能够在-30~60摄氏度，湿度小于93%环境下稳定工作。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(17)设备与客户端之间用100米网线进行传输，数据包丢包率小于0.1%。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(18)不低于IP67防尘防水等级。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(19)支持DC12V供电，且在不小于DC12V±30%范围内变化时可以正常工作。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(20)设备工作状态时，支持空气放电8kV，接触放电6kV，通讯端口支持6kV峰值电压。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(21)同一静止场景相同图像质量下，设备在H.265编码方式时，开启智能编码功能和不开启智能编码相比，码率节约1/2。</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r>
      <w:tr>
        <w:trPr>
          <w:trHeight w:val="5858"/>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园区河道高清相机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(1)视频输出支持1920×1080@25fps，分辨力不小于1100TVL，红外距离可达240米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(2)支持23倍光学变焦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(3)支持最低照度可达彩色0.001Lux，黑白0.0005Lux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(4)支持水平手控速度不小于200°/S，垂直手控速度不小于100°/S，云台定位精度为±0.1°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(5)水平旋转范围为360°连续旋转，垂直旋转范围为-5°~90°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(6)支持300个预置位，可按照所设置的预置位完成不小于8条巡航路径，支持不小于4条模式路径设置，支持预置位视频冻结功能；可实现RS485接口优先或RJ45网络接口优先控制功能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(7)信噪比≥60dB，网络延时不大于110ms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(8)动态范围不小于106dB，照度适应范围不小于135dB，宽动态能力综合得分不小于130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(9)样机与客户端之间用150m五类非屏蔽网线直接连接，网络传输能力满足发送1500个数据包，重复测试3次，每次丢包数不大于1个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(10)具备较强的网络自适应能力，在丢包率为20%的网络环境下，仍可正常显示监视画面。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(11)支持智能红外、透雾、强光抑制、电子防抖、数字降噪、防红外过曝功能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(12)支持区域遮盖功能，支持最多24块多边形区域，支持多种颜色可设置；支持自动定位、断电记忆功能；支持定时抓图或报警联动抓图上传ftp功能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(13)球机具备本机存储功能，支持SD卡热插拔，最大支持256GB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(14)支持采用H.265、H.264视频编码标准，H.264编码支持Baseline/Main/High Profile，音频编码支持G.711ulaw/G.711alaw/G.726/G.722.1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(15)支持三码流同时输出，主码流、第三码流同时支持1920×1080@30fps，1280×960@30fps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(16)支持GB28181协议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(17)支持区域入侵、越界入侵、徘徊、物品移除、物品遗留、人员聚集、停车，并联动报警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(18)具备较好的防护性能环境适应性，支持IP67，TVS 6kV防浪涌，工作温度范围可达-40℃-70℃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(19)具备较好的电源适应性，电压在DC12V±20%范围内变化时，设备可正常工作。</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r>
      <w:tr>
        <w:trPr>
          <w:trHeight w:val="3165"/>
        </w:trPr>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园区河道高清枪机</w:t>
            </w:r>
            <w:r>
              <w:rPr>
                <w:rFonts w:hint="eastAsia" w:ascii="宋体" w:hAnsi="宋体" w:eastAsia="宋体" w:cs="宋体"/>
                <w:i w:val="0"/>
                <w:iCs w:val="0"/>
                <w:color w:val="000000"/>
                <w:sz w:val="24"/>
                <w:szCs w:val="24"/>
                <w:u w:val="none"/>
              </w:rPr>
            </w:r>
            <w:r/>
          </w:p>
        </w:tc>
        <w:tc>
          <w:tcPr>
            <w:tcW w:w="3039" w:type="dxa"/>
            <w:vAlign w:val="center"/>
            <w:textDirection w:val="lrTb"/>
            <w:noWrap w:val="false"/>
          </w:tcPr>
          <w:p>
            <w:pPr>
              <w:pStyle w:val="1107"/>
              <w:ind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(1)具有400万像素 CMOS传感器。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(2)内置2颗白光补光灯。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(3)最低照度彩色：0.0004lux。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(4)白天或夜晚均可输出彩色视频图像。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(5)最大分辨率2560x1440。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(6)具有20路取流路数能力，以满足更多用户同时在线访问摄像机视频。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(7)支持三码流技术，可同时输出三路码流，主码流最高2560x1440@30fps，第三码流最大2560x1440 @ 30fps，子码流704x576@30fps。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(8)在2560x1440 @ 25fps下，清晰度不小于1400TVL。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(9)支持H.264、H.265、MJPEG视频编码格式，且具有High Profile编码能力。</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(10)信噪比不小于55dB。</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(11)支持8行字符显示，字体颜色可设置，需具有图片叠加到视频画面功能。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(12)具有黑白名单功能，其中白名单可添加不小于10个IP地址。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(13)具备人脸检测、区域入侵检测、越界检测、虚焦检测、进入区域、离开区域、徘徊、人员聚集、逆行、场景变更等功能。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(15)具有电子防抖、ROI感兴趣区域、SVC可伸缩编码、自动增益、背光补偿、数字降噪、强光抑制、走廊模式、视频水印等功能。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(16)摄像机能够在-30~60摄氏度，湿度小于93%环境下稳定工作。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(17)设备与客户端之间用100米网线进行传输，数据包丢包率小于0.1%。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(18)不低于IP67防尘防水等级。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(19)支持DC12V供电，且在不小于DC12V±30%范围内变化时可以正常工作。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(20)设备工作状态时，支持空气放电8kV，接触放电6kV，通讯端口支持6kV峰值电压。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(21)同一静止场景相同图像质量下，设备在H.265编码方式时，开启智能编码功能和不开启智能编码相比，码率节约1/2。</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49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r>
    </w:tbl>
    <w:p>
      <w:pPr>
        <w:pStyle w:val="1107"/>
        <w:ind w:firstLine="24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（三）云服务器资源租赁</w:t>
      </w:r>
      <w:r>
        <w:rPr>
          <w:rFonts w:hint="eastAsia" w:ascii="宋体" w:hAnsi="宋体" w:cs="宋体"/>
          <w:b w:val="0"/>
          <w:bCs/>
          <w:color w:val="000000"/>
          <w:sz w:val="24"/>
          <w:szCs w:val="24"/>
          <w:highlight w:val="none"/>
          <w:lang w:val="en-US" w:eastAsia="zh-CN"/>
        </w:rPr>
      </w:r>
      <w:r/>
    </w:p>
    <w:p>
      <w:pPr>
        <w:pStyle w:val="1107"/>
        <w:ind w:firstLine="480"/>
        <w:spacing w:line="360" w:lineRule="auto"/>
        <w:rPr>
          <w:rFonts w:hint="eastAsia" w:ascii="宋体" w:hAnsi="宋体" w:cs="宋体"/>
          <w:b/>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结合当前智慧监管平台系统运行情况，为确保系统的稳定运行、数据的有效利用，提供5台云服务器资源的租赁服务，具体云服务器资源配置及应用如下：</w:t>
      </w:r>
      <w:r>
        <w:rPr>
          <w:rFonts w:hint="eastAsia" w:ascii="宋体" w:hAnsi="宋体" w:cs="宋体"/>
          <w:b/>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77"/>
        <w:gridCol w:w="1260"/>
        <w:gridCol w:w="833"/>
        <w:gridCol w:w="833"/>
        <w:gridCol w:w="714"/>
        <w:gridCol w:w="714"/>
        <w:gridCol w:w="1192"/>
        <w:gridCol w:w="1196"/>
      </w:tblGrid>
      <w:tr>
        <w:trPr>
          <w:trHeight w:val="285"/>
        </w:trPr>
        <w:tc>
          <w:tcPr>
            <w:shd w:val="clear" w:color="auto" w:fill="aeabab"/>
            <w:tcW w:w="521"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位置</w:t>
            </w:r>
            <w:r>
              <w:rPr>
                <w:rFonts w:hint="eastAsia" w:ascii="宋体" w:hAnsi="宋体" w:eastAsia="宋体" w:cs="宋体"/>
                <w:b/>
                <w:bCs/>
                <w:i w:val="0"/>
                <w:iCs w:val="0"/>
                <w:color w:val="000000"/>
                <w:sz w:val="24"/>
                <w:szCs w:val="24"/>
                <w:u w:val="none"/>
                <w:lang w:val="en-US" w:eastAsia="zh-CN" w:bidi="ar"/>
              </w:rPr>
            </w:r>
            <w:r/>
          </w:p>
        </w:tc>
        <w:tc>
          <w:tcPr>
            <w:shd w:val="clear" w:color="auto" w:fill="aeabab"/>
            <w:tcW w:w="849"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服务器名称</w:t>
            </w:r>
            <w:r>
              <w:rPr>
                <w:rFonts w:hint="eastAsia" w:ascii="宋体" w:hAnsi="宋体" w:eastAsia="宋体" w:cs="宋体"/>
                <w:b/>
                <w:bCs/>
                <w:i w:val="0"/>
                <w:iCs w:val="0"/>
                <w:color w:val="000000"/>
                <w:sz w:val="24"/>
                <w:szCs w:val="24"/>
                <w:u w:val="none"/>
              </w:rPr>
            </w:r>
            <w:r/>
          </w:p>
        </w:tc>
        <w:tc>
          <w:tcPr>
            <w:shd w:val="clear" w:color="auto" w:fill="aeabab"/>
            <w:tcW w:w="678"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CPU</w:t>
            </w:r>
            <w:r>
              <w:rPr>
                <w:rFonts w:hint="eastAsia" w:ascii="宋体" w:hAnsi="宋体" w:eastAsia="宋体" w:cs="宋体"/>
                <w:b/>
                <w:bCs/>
                <w:i w:val="0"/>
                <w:iCs w:val="0"/>
                <w:color w:val="000000"/>
                <w:sz w:val="24"/>
                <w:szCs w:val="24"/>
                <w:u w:val="none"/>
                <w:lang w:val="en-US" w:eastAsia="zh-CN"/>
              </w:rPr>
            </w:r>
            <w:r/>
          </w:p>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（核）</w:t>
            </w:r>
            <w:r>
              <w:rPr>
                <w:rFonts w:hint="eastAsia" w:ascii="宋体" w:hAnsi="宋体" w:eastAsia="宋体" w:cs="宋体"/>
                <w:b/>
                <w:bCs/>
                <w:i w:val="0"/>
                <w:iCs w:val="0"/>
                <w:color w:val="000000"/>
                <w:sz w:val="24"/>
                <w:szCs w:val="24"/>
                <w:u w:val="none"/>
                <w:lang w:val="en-US" w:eastAsia="zh-CN"/>
              </w:rPr>
            </w:r>
            <w:r/>
          </w:p>
        </w:tc>
        <w:tc>
          <w:tcPr>
            <w:shd w:val="clear" w:color="auto" w:fill="aeabab"/>
            <w:tcW w:w="448"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内存</w:t>
            </w:r>
            <w:r>
              <w:rPr>
                <w:rFonts w:hint="eastAsia" w:ascii="宋体" w:hAnsi="宋体" w:eastAsia="宋体" w:cs="宋体"/>
                <w:b/>
                <w:bCs/>
                <w:i w:val="0"/>
                <w:iCs w:val="0"/>
                <w:color w:val="000000"/>
                <w:sz w:val="24"/>
                <w:szCs w:val="24"/>
                <w:u w:val="none"/>
                <w:lang w:val="en-US" w:eastAsia="zh-CN" w:bidi="ar"/>
              </w:rPr>
            </w:r>
            <w:r/>
          </w:p>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（G）</w:t>
            </w:r>
            <w:r>
              <w:rPr>
                <w:rFonts w:hint="eastAsia" w:ascii="宋体" w:hAnsi="宋体" w:eastAsia="宋体" w:cs="宋体"/>
                <w:b/>
                <w:bCs/>
                <w:i w:val="0"/>
                <w:iCs w:val="0"/>
                <w:color w:val="000000"/>
                <w:sz w:val="24"/>
                <w:szCs w:val="24"/>
                <w:u w:val="none"/>
                <w:lang w:val="en-US" w:eastAsia="zh-CN" w:bidi="ar"/>
              </w:rPr>
            </w:r>
            <w:r/>
          </w:p>
        </w:tc>
        <w:tc>
          <w:tcPr>
            <w:shd w:val="clear" w:color="auto" w:fill="aeabab"/>
            <w:tcW w:w="448"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硬盘</w:t>
            </w:r>
            <w:r>
              <w:rPr>
                <w:rFonts w:hint="eastAsia" w:ascii="宋体" w:hAnsi="宋体" w:eastAsia="宋体" w:cs="宋体"/>
                <w:b/>
                <w:bCs/>
                <w:i w:val="0"/>
                <w:iCs w:val="0"/>
                <w:color w:val="000000"/>
                <w:sz w:val="24"/>
                <w:szCs w:val="24"/>
                <w:u w:val="none"/>
                <w:lang w:val="en-US" w:eastAsia="zh-CN" w:bidi="ar"/>
              </w:rPr>
            </w:r>
            <w:r/>
          </w:p>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（G）</w:t>
            </w:r>
            <w:r>
              <w:rPr>
                <w:rFonts w:hint="eastAsia" w:ascii="宋体" w:hAnsi="宋体" w:eastAsia="宋体" w:cs="宋体"/>
                <w:b/>
                <w:bCs/>
                <w:i w:val="0"/>
                <w:iCs w:val="0"/>
                <w:color w:val="000000"/>
                <w:sz w:val="24"/>
                <w:szCs w:val="24"/>
                <w:u w:val="none"/>
                <w:lang w:val="en-US" w:eastAsia="zh-CN" w:bidi="ar"/>
              </w:rPr>
            </w:r>
            <w:r/>
          </w:p>
        </w:tc>
        <w:tc>
          <w:tcPr>
            <w:shd w:val="clear" w:color="auto" w:fill="aeabab"/>
            <w:tcW w:w="384"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外网</w:t>
            </w:r>
            <w:r>
              <w:rPr>
                <w:rFonts w:hint="eastAsia" w:ascii="宋体" w:hAnsi="宋体" w:eastAsia="宋体" w:cs="宋体"/>
                <w:b/>
                <w:bCs/>
                <w:i w:val="0"/>
                <w:iCs w:val="0"/>
                <w:color w:val="000000"/>
                <w:sz w:val="24"/>
                <w:szCs w:val="24"/>
                <w:u w:val="none"/>
                <w:lang w:val="en-US" w:eastAsia="zh-CN" w:bidi="ar"/>
              </w:rPr>
            </w:r>
            <w:r/>
          </w:p>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带宽</w:t>
            </w:r>
            <w:r>
              <w:rPr>
                <w:rFonts w:hint="eastAsia" w:ascii="宋体" w:hAnsi="宋体" w:eastAsia="宋体" w:cs="宋体"/>
                <w:b/>
                <w:bCs/>
                <w:i w:val="0"/>
                <w:iCs w:val="0"/>
                <w:color w:val="000000"/>
                <w:sz w:val="24"/>
                <w:szCs w:val="24"/>
                <w:u w:val="none"/>
              </w:rPr>
            </w:r>
            <w:r/>
          </w:p>
        </w:tc>
        <w:tc>
          <w:tcPr>
            <w:shd w:val="clear" w:color="auto" w:fill="aeabab"/>
            <w:tcW w:w="384"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lang w:val="en-US" w:eastAsia="zh-CN" w:bidi="ar"/>
              </w:rPr>
            </w:r>
            <w:r/>
          </w:p>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(台)</w:t>
            </w:r>
            <w:r>
              <w:rPr>
                <w:rFonts w:hint="eastAsia" w:ascii="宋体" w:hAnsi="宋体" w:eastAsia="宋体" w:cs="宋体"/>
                <w:b/>
                <w:bCs/>
                <w:i w:val="0"/>
                <w:iCs w:val="0"/>
                <w:color w:val="000000"/>
                <w:sz w:val="24"/>
                <w:szCs w:val="24"/>
                <w:u w:val="none"/>
                <w:lang w:val="en-US" w:eastAsia="zh-CN" w:bidi="ar"/>
              </w:rPr>
            </w:r>
            <w:r/>
          </w:p>
        </w:tc>
        <w:tc>
          <w:tcPr>
            <w:shd w:val="clear" w:color="auto" w:fill="aeabab"/>
            <w:tcW w:w="641"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操作系统</w:t>
            </w:r>
            <w:r>
              <w:rPr>
                <w:rFonts w:hint="eastAsia" w:ascii="宋体" w:hAnsi="宋体" w:eastAsia="宋体" w:cs="宋体"/>
                <w:b/>
                <w:bCs/>
                <w:i w:val="0"/>
                <w:iCs w:val="0"/>
                <w:color w:val="000000"/>
                <w:sz w:val="24"/>
                <w:szCs w:val="24"/>
                <w:u w:val="none"/>
              </w:rPr>
            </w:r>
            <w:r/>
          </w:p>
        </w:tc>
        <w:tc>
          <w:tcPr>
            <w:shd w:val="clear" w:color="auto" w:fill="aeabab"/>
            <w:tcW w:w="643" w:type="dxa"/>
            <w:vAlign w:val="center"/>
            <w:textDirection w:val="lrTb"/>
            <w:noWrap/>
          </w:tcPr>
          <w:p>
            <w:pPr>
              <w:pStyle w:val="1107"/>
              <w:ind w:left="0"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部署内容</w:t>
            </w:r>
            <w:r>
              <w:rPr>
                <w:rFonts w:hint="eastAsia" w:ascii="宋体" w:hAnsi="宋体" w:eastAsia="宋体" w:cs="宋体"/>
                <w:b/>
                <w:bCs/>
                <w:i w:val="0"/>
                <w:iCs w:val="0"/>
                <w:color w:val="000000"/>
                <w:sz w:val="24"/>
                <w:szCs w:val="24"/>
                <w:u w:val="none"/>
                <w:lang w:val="en-US" w:eastAsia="zh-CN" w:bidi="ar"/>
              </w:rPr>
            </w:r>
            <w:r/>
          </w:p>
        </w:tc>
      </w:tr>
      <w:tr>
        <w:trPr>
          <w:trHeight w:val="825"/>
        </w:trPr>
        <w:tc>
          <w:tcPr>
            <w:tcW w:w="521" w:type="dxa"/>
            <w:vAlign w:val="center"/>
            <w:vMerge w:val="restart"/>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互联网区</w:t>
            </w:r>
            <w:r>
              <w:rPr>
                <w:rFonts w:hint="eastAsia" w:ascii="宋体" w:hAnsi="宋体" w:eastAsia="宋体" w:cs="宋体"/>
                <w:i w:val="0"/>
                <w:iCs w:val="0"/>
                <w:color w:val="000000"/>
                <w:sz w:val="24"/>
                <w:szCs w:val="24"/>
                <w:u w:val="none"/>
                <w:lang w:val="en-US" w:eastAsia="zh-CN" w:bidi="ar"/>
              </w:rPr>
            </w:r>
            <w:r/>
          </w:p>
        </w:tc>
        <w:tc>
          <w:tcPr>
            <w:tcW w:w="849"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中间件服务器</w:t>
            </w:r>
            <w:r>
              <w:rPr>
                <w:rFonts w:hint="eastAsia" w:ascii="宋体" w:hAnsi="宋体" w:eastAsia="宋体" w:cs="宋体"/>
                <w:i w:val="0"/>
                <w:iCs w:val="0"/>
                <w:color w:val="000000"/>
                <w:sz w:val="24"/>
                <w:szCs w:val="24"/>
                <w:u w:val="none"/>
              </w:rPr>
            </w:r>
            <w:r/>
          </w:p>
        </w:tc>
        <w:tc>
          <w:tcPr>
            <w:tcW w:w="67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40G系统盘＋200G磁盘</w:t>
            </w:r>
            <w:r>
              <w:rPr>
                <w:rFonts w:hint="eastAsia" w:ascii="宋体" w:hAnsi="宋体" w:eastAsia="宋体" w:cs="宋体"/>
                <w:i w:val="0"/>
                <w:iCs w:val="0"/>
                <w:color w:val="000000"/>
                <w:sz w:val="24"/>
                <w:szCs w:val="24"/>
                <w:u w:val="none"/>
                <w:lang w:val="en-US" w:eastAsia="zh-CN" w:bidi="ar"/>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w:t>
            </w:r>
            <w:r>
              <w:rPr>
                <w:rFonts w:hint="eastAsia" w:ascii="宋体" w:hAnsi="宋体" w:eastAsia="宋体" w:cs="宋体"/>
                <w:i w:val="0"/>
                <w:iCs w:val="0"/>
                <w:color w:val="000000"/>
                <w:sz w:val="24"/>
                <w:szCs w:val="24"/>
                <w:u w:val="none"/>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4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ubuntu 20.04</w:t>
            </w:r>
            <w:r>
              <w:rPr>
                <w:rFonts w:hint="eastAsia" w:ascii="宋体" w:hAnsi="宋体" w:eastAsia="宋体" w:cs="宋体"/>
                <w:i w:val="0"/>
                <w:iCs w:val="0"/>
                <w:color w:val="000000"/>
                <w:sz w:val="24"/>
                <w:szCs w:val="24"/>
                <w:u w:val="none"/>
              </w:rPr>
            </w:r>
            <w:r/>
          </w:p>
        </w:tc>
        <w:tc>
          <w:tcPr>
            <w:tcW w:w="64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网关、nginx、redis等</w:t>
            </w:r>
            <w:r>
              <w:rPr>
                <w:rFonts w:hint="eastAsia" w:ascii="宋体" w:hAnsi="宋体" w:eastAsia="宋体" w:cs="宋体"/>
                <w:i w:val="0"/>
                <w:iCs w:val="0"/>
                <w:color w:val="000000"/>
                <w:sz w:val="24"/>
                <w:szCs w:val="24"/>
                <w:u w:val="none"/>
                <w:lang w:val="en-US" w:eastAsia="zh-CN" w:bidi="ar"/>
              </w:rPr>
            </w:r>
            <w:r/>
          </w:p>
        </w:tc>
      </w:tr>
      <w:tr>
        <w:trPr>
          <w:trHeight w:val="825"/>
        </w:trPr>
        <w:tc>
          <w:tcPr>
            <w:tcW w:w="521" w:type="dxa"/>
            <w:vAlign w:val="center"/>
            <w:vMerge w:val="continue"/>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49"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应用服务器</w:t>
            </w:r>
            <w:r>
              <w:rPr>
                <w:rFonts w:hint="eastAsia" w:ascii="宋体" w:hAnsi="宋体" w:eastAsia="宋体" w:cs="宋体"/>
                <w:i w:val="0"/>
                <w:iCs w:val="0"/>
                <w:color w:val="000000"/>
                <w:sz w:val="24"/>
                <w:szCs w:val="24"/>
                <w:u w:val="none"/>
              </w:rPr>
            </w:r>
            <w:r/>
          </w:p>
        </w:tc>
        <w:tc>
          <w:tcPr>
            <w:tcW w:w="67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40G系统盘＋200G磁盘</w:t>
            </w:r>
            <w:r>
              <w:rPr>
                <w:rFonts w:hint="eastAsia" w:ascii="宋体" w:hAnsi="宋体" w:eastAsia="宋体" w:cs="宋体"/>
                <w:i w:val="0"/>
                <w:iCs w:val="0"/>
                <w:color w:val="000000"/>
                <w:sz w:val="24"/>
                <w:szCs w:val="24"/>
                <w:u w:val="none"/>
                <w:lang w:val="en-US" w:eastAsia="zh-CN" w:bidi="ar"/>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0M</w:t>
            </w:r>
            <w:r>
              <w:rPr>
                <w:rFonts w:hint="eastAsia" w:ascii="宋体" w:hAnsi="宋体" w:eastAsia="宋体" w:cs="宋体"/>
                <w:i w:val="0"/>
                <w:iCs w:val="0"/>
                <w:color w:val="000000"/>
                <w:sz w:val="24"/>
                <w:szCs w:val="24"/>
                <w:u w:val="none"/>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4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ubuntu 20.04</w:t>
            </w:r>
            <w:r>
              <w:rPr>
                <w:rFonts w:hint="eastAsia" w:ascii="宋体" w:hAnsi="宋体" w:eastAsia="宋体" w:cs="宋体"/>
                <w:i w:val="0"/>
                <w:iCs w:val="0"/>
                <w:color w:val="000000"/>
                <w:sz w:val="24"/>
                <w:szCs w:val="24"/>
                <w:u w:val="none"/>
              </w:rPr>
            </w:r>
            <w:r/>
          </w:p>
        </w:tc>
        <w:tc>
          <w:tcPr>
            <w:tcW w:w="64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应用服务主节点(app 后端服务+巡检</w:t>
            </w:r>
            <w:r>
              <w:rPr>
                <w:rFonts w:hint="eastAsia" w:ascii="宋体" w:hAnsi="宋体" w:eastAsia="宋体" w:cs="宋体"/>
                <w:i w:val="0"/>
                <w:iCs w:val="0"/>
                <w:color w:val="000000"/>
                <w:sz w:val="24"/>
                <w:szCs w:val="24"/>
                <w:u w:val="none"/>
                <w:lang w:val="en-US" w:eastAsia="zh-CN" w:bidi="ar"/>
              </w:rPr>
            </w:r>
            <w:r/>
          </w:p>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+OA)</w:t>
            </w:r>
            <w:r>
              <w:rPr>
                <w:rFonts w:hint="eastAsia" w:ascii="宋体" w:hAnsi="宋体" w:eastAsia="宋体" w:cs="宋体"/>
                <w:i w:val="0"/>
                <w:iCs w:val="0"/>
                <w:color w:val="000000"/>
                <w:sz w:val="24"/>
                <w:szCs w:val="24"/>
                <w:u w:val="none"/>
                <w:lang w:val="en-US" w:eastAsia="zh-CN" w:bidi="ar"/>
              </w:rPr>
            </w:r>
            <w:r/>
          </w:p>
        </w:tc>
      </w:tr>
      <w:tr>
        <w:trPr>
          <w:trHeight w:val="555"/>
        </w:trPr>
        <w:tc>
          <w:tcPr>
            <w:tcW w:w="521" w:type="dxa"/>
            <w:vAlign w:val="center"/>
            <w:vMerge w:val="restart"/>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内网区</w:t>
            </w:r>
            <w:r>
              <w:rPr>
                <w:rFonts w:hint="eastAsia" w:ascii="宋体" w:hAnsi="宋体" w:eastAsia="宋体" w:cs="宋体"/>
                <w:i w:val="0"/>
                <w:iCs w:val="0"/>
                <w:color w:val="000000"/>
                <w:sz w:val="24"/>
                <w:szCs w:val="24"/>
                <w:u w:val="none"/>
                <w:lang w:val="en-US" w:eastAsia="zh-CN" w:bidi="ar"/>
              </w:rPr>
            </w:r>
            <w:r/>
          </w:p>
        </w:tc>
        <w:tc>
          <w:tcPr>
            <w:tcW w:w="849"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中间件服务器</w:t>
            </w:r>
            <w:r>
              <w:rPr>
                <w:rFonts w:hint="eastAsia" w:ascii="宋体" w:hAnsi="宋体" w:eastAsia="宋体" w:cs="宋体"/>
                <w:i w:val="0"/>
                <w:iCs w:val="0"/>
                <w:color w:val="000000"/>
                <w:sz w:val="24"/>
                <w:szCs w:val="24"/>
                <w:u w:val="none"/>
              </w:rPr>
            </w:r>
            <w:r/>
          </w:p>
        </w:tc>
        <w:tc>
          <w:tcPr>
            <w:tcW w:w="67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40G系统盘＋1T磁盘</w:t>
            </w:r>
            <w:r>
              <w:rPr>
                <w:rFonts w:hint="eastAsia" w:ascii="宋体" w:hAnsi="宋体" w:eastAsia="宋体" w:cs="宋体"/>
                <w:i w:val="0"/>
                <w:iCs w:val="0"/>
                <w:color w:val="000000"/>
                <w:sz w:val="24"/>
                <w:szCs w:val="24"/>
                <w:u w:val="none"/>
                <w:lang w:val="en-US" w:eastAsia="zh-CN" w:bidi="ar"/>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0M</w:t>
            </w:r>
            <w:r>
              <w:rPr>
                <w:rFonts w:hint="eastAsia" w:ascii="宋体" w:hAnsi="宋体" w:eastAsia="宋体" w:cs="宋体"/>
                <w:i w:val="0"/>
                <w:iCs w:val="0"/>
                <w:color w:val="000000"/>
                <w:sz w:val="24"/>
                <w:szCs w:val="24"/>
                <w:u w:val="none"/>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4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ubuntu 20.04</w:t>
            </w:r>
            <w:r>
              <w:rPr>
                <w:rFonts w:hint="eastAsia" w:ascii="宋体" w:hAnsi="宋体" w:eastAsia="宋体" w:cs="宋体"/>
                <w:i w:val="0"/>
                <w:iCs w:val="0"/>
                <w:color w:val="000000"/>
                <w:sz w:val="24"/>
                <w:szCs w:val="24"/>
                <w:u w:val="none"/>
              </w:rPr>
            </w:r>
            <w:r/>
          </w:p>
        </w:tc>
        <w:tc>
          <w:tcPr>
            <w:tcW w:w="64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网关、nginx、redis、文件存储等</w:t>
            </w:r>
            <w:r>
              <w:rPr>
                <w:rFonts w:hint="eastAsia" w:ascii="宋体" w:hAnsi="宋体" w:eastAsia="宋体" w:cs="宋体"/>
                <w:i w:val="0"/>
                <w:iCs w:val="0"/>
                <w:color w:val="000000"/>
                <w:sz w:val="24"/>
                <w:szCs w:val="24"/>
                <w:u w:val="none"/>
                <w:lang w:val="en-US" w:eastAsia="zh-CN" w:bidi="ar"/>
              </w:rPr>
            </w:r>
            <w:r/>
          </w:p>
        </w:tc>
      </w:tr>
      <w:tr>
        <w:trPr>
          <w:trHeight w:val="555"/>
        </w:trPr>
        <w:tc>
          <w:tcPr>
            <w:tcW w:w="521" w:type="dxa"/>
            <w:vAlign w:val="center"/>
            <w:vMerge w:val="continue"/>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49"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中间件服务器</w:t>
            </w:r>
            <w:r>
              <w:rPr>
                <w:rFonts w:hint="eastAsia" w:ascii="宋体" w:hAnsi="宋体" w:eastAsia="宋体" w:cs="宋体"/>
                <w:i w:val="0"/>
                <w:iCs w:val="0"/>
                <w:color w:val="000000"/>
                <w:sz w:val="24"/>
                <w:szCs w:val="24"/>
                <w:u w:val="none"/>
              </w:rPr>
            </w:r>
            <w:r/>
          </w:p>
        </w:tc>
        <w:tc>
          <w:tcPr>
            <w:tcW w:w="67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40G系统盘＋200G磁盘</w:t>
            </w:r>
            <w:r>
              <w:rPr>
                <w:rFonts w:hint="eastAsia" w:ascii="宋体" w:hAnsi="宋体" w:eastAsia="宋体" w:cs="宋体"/>
                <w:i w:val="0"/>
                <w:iCs w:val="0"/>
                <w:color w:val="000000"/>
                <w:sz w:val="24"/>
                <w:szCs w:val="24"/>
                <w:u w:val="none"/>
                <w:lang w:val="en-US" w:eastAsia="zh-CN" w:bidi="ar"/>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0M</w:t>
            </w:r>
            <w:r>
              <w:rPr>
                <w:rFonts w:hint="eastAsia" w:ascii="宋体" w:hAnsi="宋体" w:eastAsia="宋体" w:cs="宋体"/>
                <w:i w:val="0"/>
                <w:iCs w:val="0"/>
                <w:color w:val="000000"/>
                <w:sz w:val="24"/>
                <w:szCs w:val="24"/>
                <w:u w:val="none"/>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4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ubuntu 20.04</w:t>
            </w:r>
            <w:r>
              <w:rPr>
                <w:rFonts w:hint="eastAsia" w:ascii="宋体" w:hAnsi="宋体" w:eastAsia="宋体" w:cs="宋体"/>
                <w:i w:val="0"/>
                <w:iCs w:val="0"/>
                <w:color w:val="000000"/>
                <w:sz w:val="24"/>
                <w:szCs w:val="24"/>
                <w:u w:val="none"/>
              </w:rPr>
            </w:r>
            <w:r/>
          </w:p>
        </w:tc>
        <w:tc>
          <w:tcPr>
            <w:tcW w:w="64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应用服务主节点(app 后端服务+巡检</w:t>
            </w:r>
            <w:r>
              <w:rPr>
                <w:rFonts w:hint="eastAsia" w:ascii="宋体" w:hAnsi="宋体" w:eastAsia="宋体" w:cs="宋体"/>
                <w:i w:val="0"/>
                <w:iCs w:val="0"/>
                <w:color w:val="000000"/>
                <w:sz w:val="24"/>
                <w:szCs w:val="24"/>
                <w:u w:val="none"/>
                <w:lang w:val="en-US" w:eastAsia="zh-CN" w:bidi="ar"/>
              </w:rPr>
            </w:r>
            <w:r/>
          </w:p>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+OA)</w:t>
            </w:r>
            <w:r>
              <w:rPr>
                <w:rFonts w:hint="eastAsia" w:ascii="宋体" w:hAnsi="宋体" w:eastAsia="宋体" w:cs="宋体"/>
                <w:i w:val="0"/>
                <w:iCs w:val="0"/>
                <w:color w:val="000000"/>
                <w:sz w:val="24"/>
                <w:szCs w:val="24"/>
                <w:u w:val="none"/>
                <w:lang w:val="en-US" w:eastAsia="zh-CN" w:bidi="ar"/>
              </w:rPr>
            </w:r>
            <w:r/>
          </w:p>
        </w:tc>
      </w:tr>
      <w:tr>
        <w:trPr>
          <w:trHeight w:val="555"/>
        </w:trPr>
        <w:tc>
          <w:tcPr>
            <w:tcW w:w="521" w:type="dxa"/>
            <w:vAlign w:val="center"/>
            <w:vMerge w:val="continue"/>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49" w:type="dxa"/>
            <w:vAlign w:val="center"/>
            <w:textDirection w:val="lrTb"/>
            <w:noWrap/>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数据库服务器</w:t>
            </w:r>
            <w:r>
              <w:rPr>
                <w:rFonts w:hint="eastAsia" w:ascii="宋体" w:hAnsi="宋体" w:eastAsia="宋体" w:cs="宋体"/>
                <w:i w:val="0"/>
                <w:iCs w:val="0"/>
                <w:color w:val="000000"/>
                <w:sz w:val="24"/>
                <w:szCs w:val="24"/>
                <w:u w:val="none"/>
              </w:rPr>
            </w:r>
            <w:r/>
          </w:p>
        </w:tc>
        <w:tc>
          <w:tcPr>
            <w:tcW w:w="67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44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40G系统盘＋500G磁盘</w:t>
            </w:r>
            <w:r>
              <w:rPr>
                <w:rFonts w:hint="eastAsia" w:ascii="宋体" w:hAnsi="宋体" w:eastAsia="宋体" w:cs="宋体"/>
                <w:i w:val="0"/>
                <w:iCs w:val="0"/>
                <w:color w:val="000000"/>
                <w:sz w:val="24"/>
                <w:szCs w:val="24"/>
                <w:u w:val="none"/>
                <w:lang w:val="en-US" w:eastAsia="zh-CN" w:bidi="ar"/>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0M</w:t>
            </w:r>
            <w:r>
              <w:rPr>
                <w:rFonts w:hint="eastAsia" w:ascii="宋体" w:hAnsi="宋体" w:eastAsia="宋体" w:cs="宋体"/>
                <w:i w:val="0"/>
                <w:iCs w:val="0"/>
                <w:color w:val="000000"/>
                <w:sz w:val="24"/>
                <w:szCs w:val="24"/>
                <w:u w:val="none"/>
              </w:rPr>
            </w:r>
            <w:r/>
          </w:p>
        </w:tc>
        <w:tc>
          <w:tcPr>
            <w:tcW w:w="3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41"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ubuntu 20.04</w:t>
            </w:r>
            <w:r>
              <w:rPr>
                <w:rFonts w:hint="eastAsia" w:ascii="宋体" w:hAnsi="宋体" w:eastAsia="宋体" w:cs="宋体"/>
                <w:i w:val="0"/>
                <w:iCs w:val="0"/>
                <w:color w:val="000000"/>
                <w:sz w:val="24"/>
                <w:szCs w:val="24"/>
                <w:u w:val="none"/>
              </w:rPr>
            </w:r>
            <w:r/>
          </w:p>
        </w:tc>
        <w:tc>
          <w:tcPr>
            <w:tcW w:w="64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Pg数据库</w:t>
            </w:r>
            <w:r>
              <w:rPr>
                <w:rFonts w:hint="eastAsia" w:ascii="宋体" w:hAnsi="宋体" w:eastAsia="宋体" w:cs="宋体"/>
                <w:i w:val="0"/>
                <w:iCs w:val="0"/>
                <w:color w:val="000000"/>
                <w:sz w:val="24"/>
                <w:szCs w:val="24"/>
                <w:u w:val="none"/>
                <w:lang w:val="en-US" w:eastAsia="zh-CN" w:bidi="ar"/>
              </w:rPr>
            </w:r>
            <w:r/>
          </w:p>
          <w:p>
            <w:pPr>
              <w:pStyle w:val="1107"/>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(部署相关业务库)</w:t>
            </w:r>
            <w:r>
              <w:rPr>
                <w:rFonts w:hint="eastAsia" w:ascii="宋体" w:hAnsi="宋体" w:eastAsia="宋体" w:cs="宋体"/>
                <w:i w:val="0"/>
                <w:iCs w:val="0"/>
                <w:color w:val="000000"/>
                <w:sz w:val="24"/>
                <w:szCs w:val="24"/>
                <w:u w:val="none"/>
                <w:lang w:val="en-US" w:eastAsia="zh-CN" w:bidi="ar"/>
              </w:rPr>
            </w:r>
            <w:r/>
          </w:p>
        </w:tc>
      </w:tr>
    </w:tbl>
    <w:p>
      <w:pPr>
        <w:pStyle w:val="1107"/>
        <w:spacing w:line="360"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四、考核办法</w:t>
      </w:r>
      <w:r>
        <w:rPr>
          <w:rFonts w:ascii="宋体" w:hAnsi="宋体" w:eastAsia="宋体" w:cs="宋体"/>
          <w:b/>
          <w:color w:val="000000"/>
          <w:sz w:val="24"/>
          <w:szCs w:val="24"/>
          <w:highlight w:val="none"/>
          <w:lang w:val="en-US" w:eastAsia="zh-CN"/>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在合同服务期内，采购人有权对中标</w:t>
      </w:r>
      <w:r>
        <w:rPr>
          <w:rFonts w:hint="eastAsia" w:ascii="宋体" w:hAnsi="宋体" w:cs="宋体"/>
          <w:b w:val="0"/>
          <w:bCs/>
          <w:color w:val="000000"/>
          <w:sz w:val="24"/>
          <w:szCs w:val="24"/>
          <w:highlight w:val="none"/>
          <w:lang w:val="en-US" w:eastAsia="zh-CN"/>
        </w:rPr>
        <w:t xml:space="preserve">人</w:t>
      </w:r>
      <w:r>
        <w:rPr>
          <w:rFonts w:hint="eastAsia" w:ascii="宋体" w:hAnsi="宋体" w:cs="宋体"/>
          <w:b w:val="0"/>
          <w:bCs/>
          <w:color w:val="000000"/>
          <w:sz w:val="24"/>
          <w:szCs w:val="24"/>
          <w:highlight w:val="none"/>
        </w:rPr>
        <w:t xml:space="preserve">的维保内容进行日常管理，加强对维保工作的质量管理，确保对维保全过程的严格控制和监督，促进维保工作的制度化、规范化和科学化，达到设施持续、稳定、达标、安全运行的目的，并且采购人定期对中标</w:t>
      </w:r>
      <w:r>
        <w:rPr>
          <w:rFonts w:hint="eastAsia" w:ascii="宋体" w:hAnsi="宋体" w:cs="宋体"/>
          <w:b w:val="0"/>
          <w:bCs/>
          <w:color w:val="000000"/>
          <w:sz w:val="24"/>
          <w:szCs w:val="24"/>
          <w:highlight w:val="none"/>
          <w:lang w:val="en-US" w:eastAsia="zh-CN"/>
        </w:rPr>
        <w:t xml:space="preserve">人</w:t>
      </w:r>
      <w:r>
        <w:rPr>
          <w:rFonts w:hint="eastAsia" w:ascii="宋体" w:hAnsi="宋体" w:cs="宋体"/>
          <w:b w:val="0"/>
          <w:bCs/>
          <w:color w:val="000000"/>
          <w:sz w:val="24"/>
          <w:szCs w:val="24"/>
          <w:highlight w:val="none"/>
        </w:rPr>
        <w:t xml:space="preserve">的服务效果进行考核评价。</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1.考核对象</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考核对象为2026年滨开区新材料产业园智慧园区监管平台基础设施维保项目的</w:t>
      </w:r>
      <w:r>
        <w:rPr>
          <w:rFonts w:hint="eastAsia" w:ascii="宋体" w:hAnsi="宋体" w:cs="宋体"/>
          <w:b w:val="0"/>
          <w:bCs/>
          <w:color w:val="000000"/>
          <w:sz w:val="24"/>
          <w:szCs w:val="24"/>
          <w:highlight w:val="none"/>
          <w:lang w:eastAsia="zh-CN"/>
        </w:rPr>
        <w:t xml:space="preserve">中标人</w:t>
      </w:r>
      <w:r>
        <w:rPr>
          <w:rFonts w:hint="eastAsia"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2.考核内容</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依据招标文件采购维保要求，坚持“完善机制、提高效能、注重实效”的原则，对中标</w:t>
      </w:r>
      <w:r>
        <w:rPr>
          <w:rFonts w:hint="eastAsia" w:ascii="宋体" w:hAnsi="宋体" w:cs="宋体"/>
          <w:b w:val="0"/>
          <w:bCs/>
          <w:color w:val="000000"/>
          <w:sz w:val="24"/>
          <w:szCs w:val="24"/>
          <w:highlight w:val="none"/>
          <w:lang w:val="en-US" w:eastAsia="zh-CN"/>
        </w:rPr>
        <w:t xml:space="preserve">人</w:t>
      </w:r>
      <w:r>
        <w:rPr>
          <w:rFonts w:hint="eastAsia" w:ascii="宋体" w:hAnsi="宋体" w:cs="宋体"/>
          <w:b w:val="0"/>
          <w:bCs/>
          <w:color w:val="000000"/>
          <w:sz w:val="24"/>
          <w:szCs w:val="24"/>
          <w:highlight w:val="none"/>
        </w:rPr>
        <w:t xml:space="preserve">的日常维保工作、维保结果、响应时间等内容进行考核，具体考核细则详见《维保考核表》。</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3.考核方式</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园区成立维保考核小组，由化工产业管理局分管领导担任考核小组组长，考核小组其他成员由化工产业管理局相关科室选定。届时根据招标文件、合同约定以及《考核评价明细表》，对中标</w:t>
      </w:r>
      <w:r>
        <w:rPr>
          <w:rFonts w:hint="eastAsia" w:ascii="宋体" w:hAnsi="宋体" w:cs="宋体"/>
          <w:b w:val="0"/>
          <w:bCs/>
          <w:color w:val="000000"/>
          <w:sz w:val="24"/>
          <w:szCs w:val="24"/>
          <w:highlight w:val="none"/>
          <w:lang w:val="en-US" w:eastAsia="zh-CN"/>
        </w:rPr>
        <w:t xml:space="preserve">人</w:t>
      </w:r>
      <w:r>
        <w:rPr>
          <w:rFonts w:hint="eastAsia" w:ascii="宋体" w:hAnsi="宋体" w:cs="宋体"/>
          <w:b w:val="0"/>
          <w:bCs/>
          <w:color w:val="000000"/>
          <w:sz w:val="24"/>
          <w:szCs w:val="24"/>
          <w:highlight w:val="none"/>
        </w:rPr>
        <w:t xml:space="preserve">的各项维保服务内容进行综合评价考核。</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考核执行季度考核制，自合同签订生效之日起，考核小组每季度依据附表2《维保项目考核明细》对中标</w:t>
      </w:r>
      <w:r>
        <w:rPr>
          <w:rFonts w:hint="eastAsia" w:ascii="宋体" w:hAnsi="宋体" w:cs="宋体"/>
          <w:b w:val="0"/>
          <w:bCs/>
          <w:color w:val="000000"/>
          <w:sz w:val="24"/>
          <w:szCs w:val="24"/>
          <w:highlight w:val="none"/>
          <w:lang w:val="en-US" w:eastAsia="zh-CN"/>
        </w:rPr>
        <w:t xml:space="preserve">人</w:t>
      </w:r>
      <w:r>
        <w:rPr>
          <w:rFonts w:hint="eastAsia" w:ascii="宋体" w:hAnsi="宋体" w:cs="宋体"/>
          <w:b w:val="0"/>
          <w:bCs/>
          <w:color w:val="000000"/>
          <w:sz w:val="24"/>
          <w:szCs w:val="24"/>
          <w:highlight w:val="none"/>
        </w:rPr>
        <w:t xml:space="preserve">的各项维保服务内容进行评价打分，满分为100分（不包含加分项）。根据得分情况将考核结果划分为三个级别：优秀、合格、不合格，考核结果将决定当季度的费用支付比例。</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4.考核结果的应用</w:t>
      </w:r>
      <w:r>
        <w:rPr>
          <w:rFonts w:hint="eastAsia" w:ascii="宋体" w:hAnsi="宋体" w:cs="宋体"/>
          <w:b w:val="0"/>
          <w:bCs/>
          <w:color w:val="000000"/>
          <w:sz w:val="24"/>
          <w:szCs w:val="24"/>
          <w:highlight w:val="none"/>
        </w:rPr>
      </w:r>
      <w:r/>
    </w:p>
    <w:p>
      <w:pPr>
        <w:pStyle w:val="110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季度考核结果作为每季度付款的依据，采购人根据考核结果，按照合同约定支付季度款，具体付款比例依据附表1《季度考核等级划分及费用支付比例表》执行。</w:t>
      </w:r>
      <w:r>
        <w:rPr>
          <w:rFonts w:hint="eastAsia" w:ascii="宋体" w:hAnsi="宋体" w:cs="宋体"/>
          <w:b w:val="0"/>
          <w:bCs/>
          <w:color w:val="000000"/>
          <w:sz w:val="24"/>
          <w:szCs w:val="24"/>
          <w:highlight w:val="none"/>
        </w:rPr>
      </w:r>
      <w:r/>
    </w:p>
    <w:p>
      <w:pPr>
        <w:pStyle w:val="1107"/>
        <w:jc w:val="center"/>
        <w:spacing w:line="360" w:lineRule="auto"/>
        <w:rPr>
          <w:rFonts w:ascii="宋体" w:hAnsi="宋体"/>
          <w:color w:val="000000"/>
          <w:sz w:val="24"/>
          <w:szCs w:val="24"/>
          <w:highlight w:val="none"/>
        </w:rPr>
      </w:pPr>
      <w:r>
        <w:rPr>
          <w:rFonts w:hint="eastAsia" w:ascii="宋体" w:hAnsi="宋体" w:cs="宋体"/>
          <w:b w:val="0"/>
          <w:bCs/>
          <w:color w:val="000000"/>
          <w:sz w:val="24"/>
          <w:szCs w:val="24"/>
          <w:highlight w:val="none"/>
        </w:rPr>
        <w:t xml:space="preserve">附表1：季度考核等级划分及费用支付比例表</w:t>
      </w:r>
      <w:r>
        <w:rPr>
          <w:rFonts w:ascii="宋体" w:hAnsi="宋体"/>
          <w:color w:val="000000"/>
          <w:sz w:val="24"/>
          <w:szCs w:val="24"/>
          <w:highlight w:val="none"/>
        </w:rPr>
      </w:r>
      <w:r/>
    </w:p>
    <w:tbl>
      <w:tblPr>
        <w:tblW w:w="8721"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8"/>
        <w:gridCol w:w="2093"/>
        <w:gridCol w:w="2910"/>
      </w:tblGrid>
      <w:tr>
        <w:trPr>
          <w:cantSplit/>
          <w:trHeight w:val="567" w:hRule="exact"/>
        </w:trPr>
        <w:tc>
          <w:tcPr>
            <w:tcW w:w="37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季度考核分数</w:t>
            </w:r>
            <w:r>
              <w:rPr>
                <w:rFonts w:hint="eastAsia" w:ascii="宋体" w:hAnsi="宋体" w:cs="宋体"/>
                <w:b/>
                <w:bCs/>
                <w:color w:val="000000"/>
                <w:sz w:val="24"/>
                <w:szCs w:val="24"/>
                <w:highlight w:val="none"/>
              </w:rPr>
            </w:r>
            <w:r/>
          </w:p>
        </w:tc>
        <w:tc>
          <w:tcPr>
            <w:tcW w:w="209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考核级别</w:t>
            </w:r>
            <w:r>
              <w:rPr>
                <w:rFonts w:hint="eastAsia" w:ascii="宋体" w:hAnsi="宋体" w:cs="宋体"/>
                <w:b/>
                <w:bCs/>
                <w:color w:val="000000"/>
                <w:sz w:val="24"/>
                <w:szCs w:val="24"/>
                <w:highlight w:val="none"/>
              </w:rPr>
            </w:r>
            <w:r/>
          </w:p>
        </w:tc>
        <w:tc>
          <w:tcPr>
            <w:tcW w:w="291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季度费用支付比例</w:t>
            </w:r>
            <w:r>
              <w:rPr>
                <w:rFonts w:hint="eastAsia" w:ascii="宋体" w:hAnsi="宋体" w:cs="宋体"/>
                <w:b/>
                <w:bCs/>
                <w:color w:val="000000"/>
                <w:sz w:val="24"/>
                <w:szCs w:val="24"/>
                <w:highlight w:val="none"/>
              </w:rPr>
            </w:r>
            <w:r/>
          </w:p>
        </w:tc>
      </w:tr>
      <w:tr>
        <w:trPr>
          <w:cantSplit/>
          <w:trHeight w:val="567" w:hRule="exact"/>
        </w:trPr>
        <w:tc>
          <w:tcPr>
            <w:tcW w:w="37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90（含）以上</w:t>
            </w:r>
            <w:r>
              <w:rPr>
                <w:rFonts w:hint="eastAsia" w:ascii="宋体" w:hAnsi="宋体" w:cs="宋体"/>
                <w:color w:val="000000"/>
                <w:sz w:val="24"/>
                <w:szCs w:val="24"/>
                <w:highlight w:val="none"/>
              </w:rPr>
            </w:r>
            <w:r/>
          </w:p>
        </w:tc>
        <w:tc>
          <w:tcPr>
            <w:tcW w:w="209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优秀</w:t>
            </w:r>
            <w:r>
              <w:rPr>
                <w:rFonts w:hint="eastAsia" w:ascii="宋体" w:hAnsi="宋体" w:cs="宋体"/>
                <w:color w:val="000000"/>
                <w:sz w:val="24"/>
                <w:szCs w:val="24"/>
                <w:highlight w:val="none"/>
              </w:rPr>
            </w:r>
            <w:r/>
          </w:p>
        </w:tc>
        <w:tc>
          <w:tcPr>
            <w:tcW w:w="291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w:t>
            </w:r>
            <w:r>
              <w:rPr>
                <w:rFonts w:hint="eastAsia" w:ascii="宋体" w:hAnsi="宋体" w:cs="宋体"/>
                <w:color w:val="000000"/>
                <w:sz w:val="24"/>
                <w:szCs w:val="24"/>
                <w:highlight w:val="none"/>
              </w:rPr>
            </w:r>
            <w:r/>
          </w:p>
        </w:tc>
      </w:tr>
      <w:tr>
        <w:trPr>
          <w:cantSplit/>
          <w:trHeight w:val="567" w:hRule="exact"/>
        </w:trPr>
        <w:tc>
          <w:tcPr>
            <w:tcW w:w="37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80（含）至90分（不含）</w:t>
            </w:r>
            <w:r>
              <w:rPr>
                <w:rFonts w:hint="eastAsia" w:ascii="宋体" w:hAnsi="宋体" w:cs="宋体"/>
                <w:color w:val="000000"/>
                <w:sz w:val="24"/>
                <w:szCs w:val="24"/>
                <w:highlight w:val="none"/>
              </w:rPr>
            </w:r>
            <w:r/>
          </w:p>
        </w:tc>
        <w:tc>
          <w:tcPr>
            <w:tcW w:w="209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w:t>
            </w:r>
            <w:r>
              <w:rPr>
                <w:rFonts w:hint="eastAsia" w:ascii="宋体" w:hAnsi="宋体" w:cs="宋体"/>
                <w:color w:val="000000"/>
                <w:sz w:val="24"/>
                <w:szCs w:val="24"/>
                <w:highlight w:val="none"/>
              </w:rPr>
            </w:r>
            <w:r/>
          </w:p>
        </w:tc>
        <w:tc>
          <w:tcPr>
            <w:tcW w:w="291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98%</w:t>
            </w:r>
            <w:r>
              <w:rPr>
                <w:rFonts w:hint="eastAsia" w:ascii="宋体" w:hAnsi="宋体" w:cs="宋体"/>
                <w:color w:val="000000"/>
                <w:sz w:val="24"/>
                <w:szCs w:val="24"/>
                <w:highlight w:val="none"/>
              </w:rPr>
            </w:r>
            <w:r/>
          </w:p>
        </w:tc>
      </w:tr>
      <w:tr>
        <w:trPr>
          <w:cantSplit/>
          <w:trHeight w:val="567" w:hRule="exact"/>
        </w:trPr>
        <w:tc>
          <w:tcPr>
            <w:tcW w:w="37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80分（不含）以下</w:t>
            </w:r>
            <w:r>
              <w:rPr>
                <w:rFonts w:hint="eastAsia" w:ascii="宋体" w:hAnsi="宋体" w:cs="宋体"/>
                <w:color w:val="000000"/>
                <w:sz w:val="24"/>
                <w:szCs w:val="24"/>
                <w:highlight w:val="none"/>
              </w:rPr>
            </w:r>
            <w:r/>
          </w:p>
        </w:tc>
        <w:tc>
          <w:tcPr>
            <w:tcW w:w="209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不合格</w:t>
            </w:r>
            <w:r>
              <w:rPr>
                <w:rFonts w:hint="eastAsia" w:ascii="宋体" w:hAnsi="宋体" w:cs="宋体"/>
                <w:color w:val="000000"/>
                <w:sz w:val="24"/>
                <w:szCs w:val="24"/>
                <w:highlight w:val="none"/>
              </w:rPr>
            </w:r>
            <w:r/>
          </w:p>
        </w:tc>
        <w:tc>
          <w:tcPr>
            <w:tcW w:w="2910"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r>
    </w:tbl>
    <w:p>
      <w:pPr>
        <w:pStyle w:val="1107"/>
        <w:jc w:val="center"/>
        <w:spacing w:line="360" w:lineRule="auto"/>
        <w:rPr>
          <w:rFonts w:hint="eastAsia" w:ascii="宋体" w:hAnsi="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附表2：滨开区新材料产业园智慧园区监管平台基础设施维保项目考核明细表</w:t>
      </w:r>
      <w:r>
        <w:rPr>
          <w:rFonts w:hint="eastAsia" w:ascii="宋体" w:hAnsi="宋体"/>
          <w:b/>
          <w:color w:val="000000"/>
          <w:sz w:val="24"/>
          <w:szCs w:val="24"/>
          <w:highlight w:val="none"/>
          <w:lang w:val="en-US" w:eastAsia="zh-CN"/>
        </w:rPr>
      </w:r>
      <w:r/>
    </w:p>
    <w:p>
      <w:pPr>
        <w:pStyle w:val="1107"/>
        <w:jc w:val="center"/>
        <w:spacing w:line="360" w:lineRule="auto"/>
        <w:rPr>
          <w:rFonts w:hint="eastAsia" w:ascii="宋体" w:hAnsi="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考核周期：   年   月至    年   月    考核日期：    年  月  日</w:t>
      </w:r>
      <w:r>
        <w:rPr>
          <w:rFonts w:hint="eastAsia" w:ascii="宋体" w:hAnsi="宋体"/>
          <w:b/>
          <w:color w:val="000000"/>
          <w:sz w:val="24"/>
          <w:szCs w:val="24"/>
          <w:highlight w:val="none"/>
          <w:lang w:val="en-US" w:eastAsia="zh-CN"/>
        </w:rPr>
      </w:r>
      <w:r/>
    </w:p>
    <w:tbl>
      <w:tblPr>
        <w:tblW w:w="49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856"/>
        <w:gridCol w:w="797"/>
        <w:gridCol w:w="738"/>
        <w:gridCol w:w="3449"/>
        <w:gridCol w:w="1026"/>
      </w:tblGrid>
      <w:tr>
        <w:trPr>
          <w:trHeight w:val="454"/>
        </w:trPr>
        <w:tc>
          <w:tcPr>
            <w:tcMar>
              <w:left w:w="108" w:type="dxa"/>
              <w:top w:w="0" w:type="dxa"/>
              <w:right w:w="108" w:type="dxa"/>
              <w:bottom w:w="0" w:type="dxa"/>
            </w:tcMar>
            <w:tcW w:w="6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考核类别</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评价项</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分值</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18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考核细则</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得分</w:t>
            </w: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restart"/>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硬件设备的日常维保</w:t>
            </w:r>
            <w:r>
              <w:rPr>
                <w:rFonts w:hint="eastAsia" w:ascii="宋体" w:hAnsi="宋体" w:eastAsia="宋体" w:cs="宋体"/>
                <w:color w:val="000000"/>
                <w:sz w:val="24"/>
                <w:szCs w:val="24"/>
                <w:highlight w:val="none"/>
              </w:rPr>
            </w:r>
            <w:r/>
          </w:p>
          <w:p>
            <w:pPr>
              <w:pStyle w:val="1143"/>
              <w:ind w:firstLine="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设备的运行状态</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硬件设备运行正常，服务器出现一次服务器宕机扣2分，外围设备故障，且未在规定时间内完成修复扣2分。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硬件日常维保完成情况</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每月定期完成硬件的日常维保工作，维保执行不到位或缺少一次扣2分。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硬件故障处置情况</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硬件故障处理不及时，硬件设备未在规定时间内及时修复，每次扣2分。</w:t>
            </w:r>
            <w:r>
              <w:rPr>
                <w:rFonts w:hint="eastAsia" w:ascii="宋体" w:hAnsi="宋体" w:eastAsia="宋体" w:cs="宋体"/>
                <w:color w:val="000000"/>
                <w:sz w:val="24"/>
                <w:szCs w:val="24"/>
                <w:highlight w:val="none"/>
                <w:lang w:bidi="ar"/>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网络安全巡检服务</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未按要求定期执行网络安全漏洞扫描，未及时修复系统漏洞，每次扣2分。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46"/>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设备完好率</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维保设备设施</w:t>
            </w:r>
            <w:r>
              <w:rPr>
                <w:rFonts w:hint="eastAsia" w:ascii="宋体" w:hAnsi="宋体" w:eastAsia="宋体" w:cs="宋体"/>
                <w:color w:val="000000"/>
                <w:sz w:val="24"/>
                <w:szCs w:val="24"/>
                <w:highlight w:val="none"/>
              </w:rPr>
              <w:t xml:space="preserve">完好率≥9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%，达标得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分；每降低2%扣2分，扣完为止。</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43"/>
              <w:ind w:firstLine="0"/>
              <w:jc w:val="center"/>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其他安排工作</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其他安排的工作未落实，每次扣1分。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restart"/>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维保服务质量</w:t>
            </w:r>
            <w:r>
              <w:rPr>
                <w:rFonts w:hint="eastAsia" w:ascii="宋体" w:hAnsi="宋体" w:eastAsia="宋体" w:cs="宋体"/>
                <w:color w:val="000000"/>
                <w:sz w:val="24"/>
                <w:szCs w:val="24"/>
                <w:highlight w:val="none"/>
                <w:lang w:val="en-US" w:eastAsia="zh-CN" w:bidi="ar"/>
              </w:rPr>
            </w:r>
            <w:r/>
          </w:p>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（12分）</w:t>
            </w:r>
            <w:r>
              <w:rPr>
                <w:rFonts w:hint="eastAsia" w:ascii="宋体" w:hAnsi="宋体" w:eastAsia="宋体" w:cs="宋体"/>
                <w:color w:val="000000"/>
                <w:sz w:val="24"/>
                <w:szCs w:val="24"/>
                <w:highlight w:val="none"/>
                <w:lang w:val="en-US" w:eastAsia="zh-CN" w:bidi="ar"/>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信息保密性</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违反保密协议，泄露客户硬件信息、系统数据等核心资料的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每次发现本项不得分。</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周期性考核</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每季度根据</w:t>
            </w:r>
            <w:r>
              <w:rPr>
                <w:rFonts w:hint="eastAsia" w:ascii="宋体" w:hAnsi="宋体" w:eastAsia="宋体" w:cs="宋体"/>
                <w:color w:val="000000"/>
                <w:sz w:val="24"/>
                <w:szCs w:val="24"/>
                <w:highlight w:val="none"/>
                <w:lang w:val="en-US" w:eastAsia="zh-CN"/>
              </w:rPr>
              <w:t xml:space="preserve">抽查</w:t>
            </w:r>
            <w:r>
              <w:rPr>
                <w:rFonts w:hint="eastAsia" w:ascii="宋体" w:hAnsi="宋体" w:eastAsia="宋体" w:cs="宋体"/>
                <w:color w:val="000000"/>
                <w:sz w:val="24"/>
                <w:szCs w:val="24"/>
                <w:highlight w:val="none"/>
              </w:rPr>
              <w:t xml:space="preserve">服务记录</w:t>
            </w:r>
            <w:r>
              <w:rPr>
                <w:rFonts w:hint="eastAsia" w:ascii="宋体" w:hAnsi="宋体" w:eastAsia="宋体" w:cs="宋体"/>
                <w:color w:val="000000"/>
                <w:sz w:val="24"/>
                <w:szCs w:val="24"/>
                <w:highlight w:val="none"/>
                <w:lang w:val="en-US" w:eastAsia="zh-CN"/>
              </w:rPr>
              <w:t xml:space="preserve">发现维保服务内容存在偏差问题，</w:t>
            </w:r>
            <w:r>
              <w:rPr>
                <w:rFonts w:hint="eastAsia" w:ascii="宋体" w:hAnsi="宋体" w:eastAsia="宋体" w:cs="宋体"/>
                <w:color w:val="000000"/>
                <w:sz w:val="24"/>
                <w:szCs w:val="24"/>
                <w:highlight w:val="none"/>
                <w:lang w:bidi="ar"/>
              </w:rPr>
              <w:t xml:space="preserve">每次扣1分。</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restart"/>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应急响应</w:t>
            </w:r>
            <w:r>
              <w:rPr>
                <w:rFonts w:hint="eastAsia" w:ascii="宋体" w:hAnsi="宋体" w:eastAsia="宋体" w:cs="宋体"/>
                <w:color w:val="000000"/>
                <w:sz w:val="24"/>
                <w:szCs w:val="24"/>
                <w:highlight w:val="none"/>
              </w:rPr>
            </w:r>
            <w:r/>
          </w:p>
          <w:p>
            <w:pPr>
              <w:pStyle w:val="1143"/>
              <w:ind w:firstLine="0"/>
              <w:jc w:val="center"/>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应急事件响应</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发生应急事件，未在规定时间内做出响应，每次扣2分。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应急处置效果</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应急事件处置完成后24小时内提交处置报告，总结经验并提出改进措施，达标得</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分；未提交报告或报告不规范的，</w:t>
            </w:r>
            <w:r>
              <w:rPr>
                <w:rFonts w:hint="eastAsia" w:ascii="宋体" w:hAnsi="宋体" w:eastAsia="宋体" w:cs="宋体"/>
                <w:color w:val="000000"/>
                <w:sz w:val="24"/>
                <w:szCs w:val="24"/>
                <w:highlight w:val="none"/>
                <w:lang w:val="en-US" w:eastAsia="zh-CN" w:bidi="ar"/>
              </w:rPr>
              <w:t xml:space="preserve">每次</w:t>
            </w:r>
            <w:r>
              <w:rPr>
                <w:rFonts w:hint="eastAsia" w:ascii="宋体" w:hAnsi="宋体" w:eastAsia="宋体" w:cs="宋体"/>
                <w:color w:val="000000"/>
                <w:sz w:val="24"/>
                <w:szCs w:val="24"/>
                <w:highlight w:val="none"/>
                <w:lang w:bidi="ar"/>
              </w:rPr>
              <w:t xml:space="preserve">扣3分。</w:t>
            </w:r>
            <w:r>
              <w:rPr>
                <w:rFonts w:hint="eastAsia" w:ascii="宋体" w:hAnsi="宋体" w:eastAsia="宋体" w:cs="宋体"/>
                <w:color w:val="000000"/>
                <w:sz w:val="24"/>
                <w:szCs w:val="24"/>
                <w:highlight w:val="none"/>
                <w:lang w:bidi="ar"/>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重大活动、特殊时期技术支持</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重大活动、特殊时期时，未及时提供技术支持，每次扣2分。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资料管理</w:t>
            </w:r>
            <w:r>
              <w:rPr>
                <w:rFonts w:hint="eastAsia" w:ascii="宋体" w:hAnsi="宋体" w:eastAsia="宋体" w:cs="宋体"/>
                <w:color w:val="000000"/>
                <w:sz w:val="24"/>
                <w:szCs w:val="24"/>
                <w:highlight w:val="none"/>
              </w:rPr>
            </w:r>
            <w:r/>
          </w:p>
          <w:p>
            <w:pPr>
              <w:pStyle w:val="1143"/>
              <w:ind w:firstLine="0"/>
              <w:jc w:val="center"/>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018"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资料记录管理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37" w:type="dxa"/>
            <w:vAlign w:val="center"/>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4187"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涉及的工作未有详尽的纸质记录，例如设备维护记录、</w:t>
            </w:r>
            <w:r>
              <w:rPr>
                <w:rFonts w:hint="eastAsia" w:ascii="宋体" w:hAnsi="宋体" w:eastAsia="宋体" w:cs="宋体"/>
                <w:color w:val="000000"/>
                <w:sz w:val="24"/>
                <w:szCs w:val="24"/>
                <w:highlight w:val="none"/>
                <w:lang w:val="en-US" w:eastAsia="zh-CN" w:bidi="ar"/>
              </w:rPr>
              <w:t xml:space="preserve">更换新设备采购</w:t>
            </w:r>
            <w:r>
              <w:rPr>
                <w:rFonts w:hint="eastAsia" w:ascii="宋体" w:hAnsi="宋体" w:eastAsia="宋体" w:cs="宋体"/>
                <w:color w:val="000000"/>
                <w:sz w:val="24"/>
                <w:szCs w:val="24"/>
                <w:highlight w:val="none"/>
                <w:lang w:bidi="ar"/>
              </w:rPr>
              <w:t xml:space="preserve">记录，每项扣1分。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restart"/>
            <w:textDirection w:val="lrTb"/>
            <w:noWrap w:val="false"/>
          </w:tcPr>
          <w:p>
            <w:pPr>
              <w:pStyle w:val="1107"/>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加分项目</w:t>
            </w:r>
            <w:r>
              <w:rPr>
                <w:rFonts w:hint="eastAsia" w:ascii="宋体" w:hAnsi="宋体" w:eastAsia="宋体" w:cs="宋体"/>
                <w:color w:val="000000"/>
                <w:sz w:val="24"/>
                <w:szCs w:val="24"/>
                <w:highlight w:val="none"/>
              </w:rPr>
            </w:r>
            <w:r/>
          </w:p>
        </w:tc>
        <w:tc>
          <w:tcPr>
            <w:gridSpan w:val="4"/>
            <w:tcMar>
              <w:left w:w="108" w:type="dxa"/>
              <w:top w:w="0" w:type="dxa"/>
              <w:right w:w="108" w:type="dxa"/>
              <w:bottom w:w="0" w:type="dxa"/>
            </w:tcMar>
            <w:tcW w:w="6840"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为业务科室</w:t>
            </w:r>
            <w:r>
              <w:rPr>
                <w:rFonts w:hint="eastAsia" w:ascii="宋体" w:hAnsi="宋体" w:eastAsia="宋体" w:cs="宋体"/>
                <w:color w:val="000000"/>
                <w:sz w:val="24"/>
                <w:szCs w:val="24"/>
                <w:highlight w:val="none"/>
              </w:rPr>
              <w:t xml:space="preserve">提出创新性、前瞻性、突破性、务实性的意见建议，并得到采纳的，</w:t>
            </w:r>
            <w:r>
              <w:rPr>
                <w:rFonts w:hint="eastAsia" w:ascii="宋体" w:hAnsi="宋体" w:eastAsia="宋体" w:cs="宋体"/>
                <w:color w:val="000000"/>
                <w:sz w:val="24"/>
                <w:szCs w:val="24"/>
                <w:highlight w:val="none"/>
                <w:lang w:bidi="ar"/>
              </w:rPr>
              <w:t xml:space="preserve">每次加5分。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Mar>
              <w:left w:w="108" w:type="dxa"/>
              <w:top w:w="0" w:type="dxa"/>
              <w:right w:w="108" w:type="dxa"/>
              <w:bottom w:w="0" w:type="dxa"/>
            </w:tcMar>
            <w:tcW w:w="6840"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服务效益、实现效果、事件与问题解决满意度高于预期的，每次加1-5分。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Mar>
              <w:left w:w="108" w:type="dxa"/>
              <w:top w:w="0" w:type="dxa"/>
              <w:right w:w="108" w:type="dxa"/>
              <w:bottom w:w="0" w:type="dxa"/>
            </w:tcMar>
            <w:tcW w:w="684" w:type="dxa"/>
            <w:vAlign w:val="center"/>
            <w:vMerge w:val="continue"/>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Mar>
              <w:left w:w="108" w:type="dxa"/>
              <w:top w:w="0" w:type="dxa"/>
              <w:right w:w="108" w:type="dxa"/>
              <w:bottom w:w="0" w:type="dxa"/>
            </w:tcMar>
            <w:tcW w:w="6840" w:type="dxa"/>
            <w:vAlign w:val="center"/>
            <w:textDirection w:val="lrTb"/>
            <w:noWrap w:val="false"/>
          </w:tcPr>
          <w:p>
            <w:pPr>
              <w:pStyle w:val="1107"/>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配合赢得市级、省级、国家级荣誉，每次加2分、5分、10分。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3" w:type="dxa"/>
            <w:vAlign w:val="center"/>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2"/>
        </w:trPr>
        <w:tc>
          <w:tcPr>
            <w:gridSpan w:val="4"/>
            <w:tcMar>
              <w:left w:w="108" w:type="dxa"/>
              <w:top w:w="0" w:type="dxa"/>
              <w:right w:w="108" w:type="dxa"/>
              <w:bottom w:w="0" w:type="dxa"/>
            </w:tcMar>
            <w:tcW w:w="4638" w:type="dxa"/>
            <w:vAlign w:val="center"/>
            <w:textDirection w:val="lrTb"/>
            <w:noWrap w:val="false"/>
          </w:tcPr>
          <w:p>
            <w:pPr>
              <w:pStyle w:val="1107"/>
              <w:ind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考评总计：</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475" w:type="dxa"/>
            <w:vAlign w:val="center"/>
            <w:textDirection w:val="lrTb"/>
            <w:noWrap w:val="false"/>
          </w:tcPr>
          <w:p>
            <w:pPr>
              <w:pStyle w:val="1107"/>
              <w:ind w:firstLine="0"/>
              <w:keepLines w:val="0"/>
              <w:keepNext w:val="0"/>
              <w:pageBreakBefore w:val="0"/>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r>
      <w:tr>
        <w:trPr>
          <w:trHeight w:val="900"/>
        </w:trPr>
        <w:tc>
          <w:tcPr>
            <w:gridSpan w:val="4"/>
            <w:tcMar>
              <w:left w:w="108" w:type="dxa"/>
              <w:top w:w="0" w:type="dxa"/>
              <w:right w:w="108" w:type="dxa"/>
              <w:bottom w:w="0" w:type="dxa"/>
            </w:tcMar>
            <w:tcW w:w="4638" w:type="dxa"/>
            <w:vAlign w:val="top"/>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考核人签字（盖章）：</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4475" w:type="dxa"/>
            <w:vAlign w:val="top"/>
            <w:textDirection w:val="lrTb"/>
            <w:noWrap w:val="false"/>
          </w:tcPr>
          <w:p>
            <w:pPr>
              <w:pStyle w:val="1107"/>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被考核人签字（盖章）：</w:t>
            </w:r>
            <w:r>
              <w:rPr>
                <w:rFonts w:hint="eastAsia" w:ascii="宋体" w:hAnsi="宋体" w:eastAsia="宋体" w:cs="宋体"/>
                <w:color w:val="000000"/>
                <w:sz w:val="24"/>
                <w:szCs w:val="24"/>
                <w:highlight w:val="none"/>
              </w:rPr>
            </w:r>
            <w:r/>
          </w:p>
        </w:tc>
      </w:tr>
    </w:tbl>
    <w:p>
      <w:pPr>
        <w:pStyle w:val="1107"/>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lang w:val="en-US" w:eastAsia="zh-CN"/>
        </w:rPr>
      </w:pPr>
      <w:r>
        <w:rPr>
          <w:rFonts w:hint="eastAsia" w:ascii="宋体" w:hAnsi="宋体" w:cs="宋体"/>
          <w:b/>
          <w:color w:val="000000"/>
          <w:sz w:val="24"/>
          <w:szCs w:val="24"/>
          <w:highlight w:val="none"/>
          <w:u w:val="none"/>
          <w:lang w:val="en-US" w:eastAsia="zh-CN"/>
        </w:rPr>
        <w:t xml:space="preserve">五</w:t>
      </w:r>
      <w:r>
        <w:rPr>
          <w:rFonts w:hint="eastAsia" w:ascii="宋体" w:hAnsi="宋体" w:eastAsia="宋体" w:cs="宋体"/>
          <w:b/>
          <w:color w:val="000000"/>
          <w:sz w:val="24"/>
          <w:szCs w:val="24"/>
          <w:highlight w:val="none"/>
          <w:u w:val="none"/>
          <w:lang w:val="en-US" w:eastAsia="zh-CN"/>
        </w:rPr>
        <w:t xml:space="preserve">、其他要求</w:t>
      </w:r>
      <w:r>
        <w:rPr>
          <w:rFonts w:hint="eastAsia" w:ascii="宋体" w:hAnsi="宋体" w:eastAsia="宋体" w:cs="宋体"/>
          <w:b/>
          <w:color w:val="000000"/>
          <w:sz w:val="24"/>
          <w:szCs w:val="24"/>
          <w:highlight w:val="none"/>
          <w:u w:val="none"/>
          <w:lang w:val="en-US" w:eastAsia="zh-CN"/>
        </w:rPr>
      </w:r>
      <w:r/>
    </w:p>
    <w:p>
      <w:pPr>
        <w:pStyle w:val="1107"/>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szCs w:val="24"/>
          <w:highlight w:val="none"/>
          <w:u w:val="single"/>
          <w:lang w:val="en-US" w:eastAsia="zh-CN"/>
        </w:rPr>
        <w:t xml:space="preserve"> 0</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107"/>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rPr>
          <w:rFonts w:hint="eastAsia" w:ascii="宋体" w:hAnsi="宋体" w:eastAsia="宋体" w:cs="宋体"/>
          <w:color w:val="000000"/>
          <w:sz w:val="24"/>
          <w:szCs w:val="24"/>
          <w:highlight w:val="none"/>
          <w:lang w:val="en-US" w:eastAsia="zh-CN"/>
        </w:rPr>
      </w:r>
      <w:r/>
    </w:p>
    <w:p>
      <w:pPr>
        <w:pStyle w:val="1107"/>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pPr>
      <w:r>
        <w:rPr>
          <w:rFonts w:hint="eastAsia" w:ascii="宋体" w:hAnsi="宋体" w:cs="宋体"/>
          <w:b/>
          <w:color w:val="000000"/>
          <w:sz w:val="24"/>
          <w:szCs w:val="24"/>
          <w:highlight w:val="none"/>
          <w:u w:val="none"/>
          <w:lang w:val="en-US" w:eastAsia="zh-CN"/>
        </w:rPr>
        <w:t xml:space="preserve">六</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1107"/>
        <w:ind w:firstLine="488"/>
        <w:keepLines w:val="0"/>
        <w:keepNext w:val="0"/>
        <w:pageBreakBefore w:val="0"/>
        <w:spacing w:line="360" w:lineRule="auto"/>
        <w:shd w:val="clear" w:color="auto" w:fill="auto"/>
        <w:widowControl w:val="off"/>
        <w:rPr>
          <w:rFonts w:hint="eastAsia" w:ascii="宋体" w:hAnsi="宋体" w:eastAsia="宋体" w:cs="宋体"/>
          <w:color w:val="000000"/>
          <w:spacing w:val="2"/>
          <w:sz w:val="24"/>
          <w:szCs w:val="24"/>
          <w:highlight w:val="none"/>
          <w:u w:val="none"/>
        </w:rPr>
      </w:pPr>
      <w:r>
        <w:rPr>
          <w:rFonts w:hint="eastAsia" w:ascii="宋体" w:hAnsi="宋体" w:eastAsia="宋体" w:cs="宋体"/>
          <w:color w:val="000000"/>
          <w:spacing w:val="2"/>
          <w:sz w:val="24"/>
          <w:szCs w:val="24"/>
          <w:highlight w:val="none"/>
          <w:u w:val="none"/>
        </w:rPr>
        <w:t xml:space="preserve">本项目报价为</w:t>
      </w:r>
      <w:r>
        <w:rPr>
          <w:rFonts w:hint="eastAsia" w:ascii="宋体" w:hAnsi="宋体" w:eastAsia="宋体" w:cs="宋体"/>
          <w:b/>
          <w:bCs/>
          <w:color w:val="000000"/>
          <w:spacing w:val="2"/>
          <w:sz w:val="24"/>
          <w:szCs w:val="24"/>
          <w:highlight w:val="none"/>
          <w:u w:val="none"/>
        </w:rPr>
        <w:t xml:space="preserve">固定</w:t>
      </w:r>
      <w:r>
        <w:rPr>
          <w:rFonts w:hint="eastAsia" w:ascii="宋体" w:hAnsi="宋体" w:cs="宋体"/>
          <w:b/>
          <w:bCs/>
          <w:color w:val="000000"/>
          <w:spacing w:val="2"/>
          <w:sz w:val="24"/>
          <w:szCs w:val="24"/>
          <w:highlight w:val="none"/>
          <w:u w:val="none"/>
          <w:lang w:val="en-US" w:eastAsia="zh-CN"/>
        </w:rPr>
        <w:t xml:space="preserve">总</w:t>
      </w:r>
      <w:r>
        <w:rPr>
          <w:rFonts w:hint="eastAsia" w:ascii="宋体" w:hAnsi="宋体" w:eastAsia="宋体" w:cs="宋体"/>
          <w:b/>
          <w:bCs/>
          <w:color w:val="000000"/>
          <w:spacing w:val="2"/>
          <w:sz w:val="24"/>
          <w:szCs w:val="24"/>
          <w:highlight w:val="none"/>
          <w:u w:val="none"/>
          <w:lang w:val="en-US" w:eastAsia="zh-CN"/>
        </w:rPr>
        <w:t xml:space="preserve">价</w:t>
      </w:r>
      <w:r>
        <w:rPr>
          <w:rFonts w:hint="eastAsia" w:ascii="宋体" w:hAnsi="宋体" w:eastAsia="宋体" w:cs="宋体"/>
          <w:color w:val="000000"/>
          <w:spacing w:val="2"/>
          <w:sz w:val="24"/>
          <w:szCs w:val="24"/>
          <w:highlight w:val="none"/>
          <w:u w:val="none"/>
        </w:rPr>
        <w:t xml:space="preserve">，</w:t>
      </w:r>
      <w:r>
        <w:rPr>
          <w:rFonts w:hint="eastAsia" w:ascii="宋体" w:hAnsi="宋体" w:eastAsia="宋体" w:cs="宋体"/>
          <w:color w:val="000000"/>
          <w:spacing w:val="2"/>
          <w:sz w:val="24"/>
          <w:szCs w:val="24"/>
          <w:highlight w:val="none"/>
          <w:u w:val="none"/>
          <w:lang w:val="en-US" w:eastAsia="zh-CN"/>
        </w:rPr>
        <w:t xml:space="preserve">投标报价</w:t>
      </w:r>
      <w:r>
        <w:rPr>
          <w:rFonts w:hint="eastAsia" w:ascii="宋体" w:hAnsi="宋体" w:eastAsia="宋体" w:cs="宋体"/>
          <w:color w:val="000000"/>
          <w:spacing w:val="2"/>
          <w:sz w:val="24"/>
          <w:szCs w:val="24"/>
          <w:highlight w:val="none"/>
          <w:u w:val="none"/>
        </w:rPr>
        <w:t xml:space="preserve">应包括</w:t>
      </w:r>
      <w:r>
        <w:rPr>
          <w:rFonts w:hint="eastAsia" w:ascii="宋体" w:hAnsi="宋体" w:eastAsia="宋体" w:cs="宋体"/>
          <w:color w:val="000000"/>
          <w:spacing w:val="2"/>
          <w:sz w:val="24"/>
          <w:szCs w:val="24"/>
          <w:highlight w:val="none"/>
          <w:u w:val="none"/>
          <w:lang w:eastAsia="zh-CN"/>
        </w:rPr>
        <w:t xml:space="preserve">招标文件</w:t>
      </w:r>
      <w:r>
        <w:rPr>
          <w:rFonts w:hint="eastAsia" w:ascii="宋体" w:hAnsi="宋体" w:eastAsia="宋体" w:cs="宋体"/>
          <w:color w:val="000000"/>
          <w:spacing w:val="2"/>
          <w:sz w:val="24"/>
          <w:szCs w:val="24"/>
          <w:highlight w:val="none"/>
          <w:u w:val="none"/>
        </w:rPr>
        <w:t xml:space="preserve">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000000"/>
          <w:spacing w:val="2"/>
          <w:sz w:val="24"/>
          <w:szCs w:val="24"/>
          <w:highlight w:val="none"/>
          <w:u w:val="none"/>
          <w:lang w:eastAsia="zh-CN"/>
        </w:rPr>
        <w:t xml:space="preserve">采购人</w:t>
      </w:r>
      <w:r>
        <w:rPr>
          <w:rFonts w:hint="eastAsia" w:ascii="宋体" w:hAnsi="宋体" w:eastAsia="宋体" w:cs="宋体"/>
          <w:color w:val="000000"/>
          <w:spacing w:val="2"/>
          <w:sz w:val="24"/>
          <w:szCs w:val="24"/>
          <w:highlight w:val="none"/>
          <w:u w:val="none"/>
        </w:rPr>
        <w:t xml:space="preserve">不再支付其他任何费用。</w:t>
      </w:r>
      <w:r>
        <w:rPr>
          <w:rFonts w:hint="eastAsia" w:ascii="宋体" w:hAnsi="宋体" w:eastAsia="宋体" w:cs="宋体"/>
          <w:color w:val="000000"/>
          <w:spacing w:val="2"/>
          <w:sz w:val="24"/>
          <w:szCs w:val="24"/>
          <w:highlight w:val="none"/>
          <w:u w:val="none"/>
        </w:rPr>
      </w:r>
      <w:r/>
    </w:p>
    <w:p>
      <w:pPr>
        <w:pStyle w:val="1107"/>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rPr>
      </w:pPr>
      <w:r>
        <w:rPr>
          <w:rFonts w:hint="eastAsia" w:ascii="宋体" w:hAnsi="宋体" w:eastAsia="宋体" w:cs="宋体"/>
          <w:color w:val="000000"/>
          <w:spacing w:val="2"/>
          <w:sz w:val="24"/>
          <w:szCs w:val="24"/>
          <w:highlight w:val="none"/>
          <w:u w:val="none"/>
        </w:rPr>
        <w:t xml:space="preserve">报价货币为人民币，评审时以人民币为准。</w:t>
      </w:r>
      <w:r>
        <w:rPr>
          <w:rFonts w:hint="eastAsia" w:ascii="宋体" w:hAnsi="宋体" w:eastAsia="宋体" w:cs="宋体"/>
          <w:color w:val="000000"/>
          <w:spacing w:val="2"/>
          <w:sz w:val="24"/>
          <w:szCs w:val="24"/>
          <w:highlight w:val="none"/>
          <w:u w:val="none"/>
        </w:rPr>
      </w:r>
      <w:r/>
    </w:p>
    <w:p>
      <w:pPr>
        <w:pStyle w:val="110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219"/>
        <w:contextualSpacing/>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pStyle w:val="1219"/>
        <w:contextualSpacing/>
        <w:ind w:firstLine="480"/>
        <w:jc w:val="left"/>
        <w:spacing w:line="360" w:lineRule="auto"/>
        <w:rPr>
          <w:rFonts w:ascii="宋体" w:hAnsi="宋体"/>
          <w:bCs/>
          <w:color w:val="000000"/>
          <w:sz w:val="24"/>
          <w:highlight w:val="none"/>
        </w:rPr>
        <w:sectPr>
          <w:headerReference w:type="default" r:id="rId13"/>
          <w:footerReference w:type="default" r:id="rId21"/>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bCs/>
          <w:color w:val="000000"/>
          <w:sz w:val="24"/>
          <w:highlight w:val="none"/>
        </w:rPr>
      </w:r>
      <w:r/>
    </w:p>
    <w:p>
      <w:pPr>
        <w:pStyle w:val="1107"/>
        <w:jc w:val="center"/>
        <w:spacing w:line="360" w:lineRule="auto"/>
        <w:rPr>
          <w:b/>
          <w:color w:val="000000"/>
          <w:sz w:val="36"/>
          <w:szCs w:val="36"/>
          <w:highlight w:val="none"/>
        </w:rPr>
        <w:outlineLvl w:val="0"/>
      </w:pPr>
      <w:r/>
      <w:bookmarkStart w:id="815" w:name="_Toc13366"/>
      <w:r/>
      <w:bookmarkStart w:id="816" w:name="_Toc99301425"/>
      <w:r>
        <w:rPr>
          <w:b/>
          <w:color w:val="000000"/>
          <w:sz w:val="36"/>
          <w:szCs w:val="36"/>
          <w:highlight w:val="none"/>
        </w:rPr>
        <w:t xml:space="preserve">第六章   拟签订的合同文本</w:t>
      </w:r>
      <w:bookmarkEnd w:id="815"/>
      <w:r/>
      <w:bookmarkEnd w:id="816"/>
      <w:r>
        <w:rPr>
          <w:b/>
          <w:color w:val="000000"/>
          <w:sz w:val="36"/>
          <w:szCs w:val="36"/>
          <w:highlight w:val="none"/>
        </w:rPr>
      </w:r>
      <w:r/>
    </w:p>
    <w:p>
      <w:pPr>
        <w:pStyle w:val="114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lang w:val="zh-CN"/>
        </w:rPr>
        <w:t xml:space="preserve">（以下称甲</w:t>
      </w:r>
      <w:r>
        <w:rPr>
          <w:rFonts w:hint="eastAsia" w:ascii="宋体" w:hAnsi="宋体" w:eastAsia="宋体" w:cs="宋体"/>
          <w:b/>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江苏常州滨江经济开发区管理委员会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49"/>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b/>
          <w:color w:val="000000"/>
          <w:sz w:val="24"/>
          <w:szCs w:val="24"/>
          <w:highlight w:val="none"/>
          <w:lang w:val="en-US" w:eastAsia="zh-CN"/>
        </w:rPr>
        <w:t xml:space="preserve">中标人</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21"/>
        <w:ind w:firstLine="96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1"/>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1"/>
        <w:jc w:val="righ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149"/>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107"/>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07"/>
        <w:contextualSpacing/>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自合同签订之日起一年。</w:t>
      </w:r>
      <w:r>
        <w:rPr>
          <w:rFonts w:hint="eastAsia" w:ascii="宋体" w:hAnsi="宋体" w:eastAsia="宋体" w:cs="宋体"/>
          <w:bCs/>
          <w:color w:val="000000"/>
          <w:sz w:val="24"/>
          <w:szCs w:val="24"/>
          <w:highlight w:val="none"/>
          <w:lang w:val="en-US" w:eastAsia="zh-CN"/>
        </w:rPr>
      </w:r>
      <w:r/>
    </w:p>
    <w:p>
      <w:pPr>
        <w:pStyle w:val="1107"/>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49"/>
        <w:ind w:firstLine="487"/>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签约合同价（人民币，下同）</w:t>
      </w:r>
      <w:r>
        <w:rPr>
          <w:rFonts w:hint="eastAsia" w:ascii="宋体" w:hAnsi="宋体" w:eastAsia="宋体" w:cs="宋体"/>
          <w:b/>
          <w:color w:val="000000"/>
          <w:sz w:val="24"/>
          <w:szCs w:val="24"/>
          <w:highlight w:val="none"/>
          <w:u w:val="single"/>
        </w:rPr>
        <w:t xml:space="preserve">：    元（小写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lang w:val="en-US" w:eastAsia="zh-CN"/>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本合同价</w:t>
      </w:r>
      <w:r>
        <w:rPr>
          <w:rFonts w:hint="eastAsia" w:ascii="宋体" w:hAnsi="宋体" w:eastAsia="宋体" w:cs="宋体"/>
          <w:color w:val="000000"/>
          <w:spacing w:val="2"/>
          <w:sz w:val="24"/>
          <w:szCs w:val="24"/>
          <w:highlight w:val="none"/>
          <w:u w:val="none"/>
          <w:lang w:val="en-US" w:eastAsia="zh-CN"/>
        </w:rPr>
        <w:t xml:space="preserve">包括招标文件所确定的采购范围</w:t>
      </w:r>
      <w:r>
        <w:rPr>
          <w:rFonts w:hint="eastAsia" w:hAnsi="宋体" w:cs="宋体"/>
          <w:color w:val="000000"/>
          <w:spacing w:val="2"/>
          <w:sz w:val="24"/>
          <w:szCs w:val="24"/>
          <w:highlight w:val="none"/>
          <w:u w:val="none"/>
          <w:lang w:val="en-US" w:eastAsia="zh-CN"/>
        </w:rPr>
        <w:t xml:space="preserve">内</w:t>
      </w:r>
      <w:r>
        <w:rPr>
          <w:rFonts w:hint="eastAsia" w:ascii="宋体" w:hAnsi="宋体" w:eastAsia="宋体" w:cs="宋体"/>
          <w:color w:val="000000"/>
          <w:spacing w:val="2"/>
          <w:sz w:val="24"/>
          <w:szCs w:val="24"/>
          <w:highlight w:val="none"/>
          <w:u w:val="none"/>
          <w:lang w:val="en-US" w:eastAsia="zh-CN"/>
        </w:rPr>
        <w:t xml:space="preserve">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rPr>
          <w:rFonts w:hint="eastAsia" w:ascii="宋体" w:hAnsi="宋体" w:eastAsia="宋体" w:cs="宋体"/>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149"/>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组成本合同的有关文件</w:t>
      </w:r>
      <w:r>
        <w:rPr>
          <w:rFonts w:hint="eastAsia" w:ascii="宋体" w:hAnsi="宋体" w:eastAsia="宋体" w:cs="宋体"/>
          <w:b/>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（编号：</w:t>
      </w:r>
      <w:r>
        <w:rPr>
          <w:rFonts w:hint="eastAsia" w:hAnsi="宋体" w:cs="宋体"/>
          <w:color w:val="000000"/>
          <w:sz w:val="24"/>
          <w:szCs w:val="24"/>
          <w:highlight w:val="none"/>
          <w:lang w:eastAsia="zh-CN"/>
        </w:rPr>
        <w:t xml:space="preserve">JSZC-320411001-SYZB-G2026-0015</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114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结算方式：固定总价。</w:t>
      </w:r>
      <w:r>
        <w:rPr>
          <w:rFonts w:ascii="宋体" w:hAnsi="宋体" w:eastAsia="宋体" w:cs="宋体"/>
          <w:color w:val="000000"/>
          <w:sz w:val="24"/>
          <w:szCs w:val="24"/>
          <w:highlight w:val="none"/>
          <w:lang w:val="en-US" w:eastAsia="zh-CN"/>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.付款方式：自合同签订之日起开始维保服务，前三季度每个季度考核合格后支付合同价的25%，第四季度结束后支付审定价的尾款。</w:t>
      </w:r>
      <w:r>
        <w:rPr>
          <w:rFonts w:hint="eastAsia" w:ascii="宋体" w:hAnsi="宋体" w:eastAsia="宋体" w:cs="宋体"/>
          <w:color w:val="000000"/>
          <w:sz w:val="24"/>
          <w:szCs w:val="24"/>
          <w:highlight w:val="none"/>
          <w:lang w:eastAsia="zh-CN"/>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诚实信用 </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110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110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0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07"/>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10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07"/>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10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bCs/>
          <w:color w:val="000000"/>
          <w:sz w:val="24"/>
          <w:szCs w:val="24"/>
          <w:highlight w:val="none"/>
          <w:lang w:val="en-US" w:eastAsia="zh-CN"/>
        </w:rPr>
      </w:r>
      <w:r/>
    </w:p>
    <w:p>
      <w:pPr>
        <w:pStyle w:val="1107"/>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headerReference w:type="default" r:id="rId14"/>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4"/>
          <w:szCs w:val="24"/>
          <w:highlight w:val="none"/>
          <w:lang w:val="en-US" w:eastAsia="zh-CN"/>
        </w:rPr>
      </w:r>
      <w:r/>
    </w:p>
    <w:p>
      <w:pPr>
        <w:pStyle w:val="1107"/>
        <w:contextualSpacing/>
        <w:jc w:val="center"/>
        <w:keepLines w:val="0"/>
        <w:keepNext w:val="0"/>
        <w:pageBreakBefore w:val="0"/>
        <w:spacing w:line="360" w:lineRule="auto"/>
        <w:widowControl w:val="off"/>
        <w:rPr>
          <w:b/>
          <w:color w:val="000000"/>
          <w:sz w:val="36"/>
          <w:szCs w:val="36"/>
          <w:highlight w:val="none"/>
        </w:rPr>
        <w:outlineLvl w:val="0"/>
      </w:pPr>
      <w:r>
        <w:rPr>
          <w:b/>
          <w:color w:val="000000"/>
          <w:sz w:val="36"/>
          <w:szCs w:val="36"/>
          <w:highlight w:val="none"/>
        </w:rPr>
        <w:t xml:space="preserve">第七章   投标文件格式</w:t>
      </w:r>
      <w:bookmarkEnd w:id="813"/>
      <w:r/>
      <w:bookmarkEnd w:id="814"/>
      <w:r>
        <w:rPr>
          <w:b/>
          <w:color w:val="000000"/>
          <w:sz w:val="36"/>
          <w:szCs w:val="36"/>
          <w:highlight w:val="none"/>
        </w:rPr>
      </w:r>
      <w:r/>
    </w:p>
    <w:p>
      <w:pPr>
        <w:pStyle w:val="1107"/>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1107"/>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1107"/>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1107"/>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107"/>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107"/>
        <w:ind w:left="142"/>
        <w:spacing w:line="360" w:lineRule="auto"/>
        <w:tabs>
          <w:tab w:val="left" w:pos="900" w:leader="none"/>
          <w:tab w:val="left" w:pos="1980" w:leader="none"/>
        </w:tabs>
        <w:rPr>
          <w:rFonts w:hint="eastAsia"/>
          <w:color w:val="000000"/>
          <w:sz w:val="24"/>
          <w:highlight w:val="none"/>
        </w:rPr>
        <w:outlineLvl w:val="9"/>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107"/>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107"/>
        <w:jc w:val="left"/>
        <w:widowControl/>
        <w:rPr>
          <w:b/>
          <w:color w:val="000000"/>
          <w:sz w:val="30"/>
          <w:szCs w:val="20"/>
          <w:highlight w:val="none"/>
        </w:rPr>
        <w:outlineLvl w:val="9"/>
      </w:pPr>
      <w:r>
        <w:rPr>
          <w:color w:val="000000"/>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color w:val="000000"/>
          <w:spacing w:val="20"/>
          <w:sz w:val="24"/>
          <w:highlight w:val="none"/>
        </w:rPr>
        <w:t xml:space="preserve">一、资格证明文件格式</w:t>
      </w:r>
      <w:r>
        <w:rPr>
          <w:b/>
          <w:color w:val="000000"/>
          <w:sz w:val="30"/>
          <w:szCs w:val="20"/>
          <w:highlight w:val="none"/>
        </w:rPr>
      </w:r>
      <w:r/>
    </w:p>
    <w:p>
      <w:pPr>
        <w:pStyle w:val="1107"/>
        <w:rPr>
          <w:b/>
          <w:color w:val="000000"/>
          <w:spacing w:val="20"/>
          <w:szCs w:val="21"/>
          <w:highlight w:val="none"/>
        </w:rPr>
        <w:outlineLvl w:val="9"/>
      </w:pPr>
      <w:r>
        <w:rPr>
          <w:b/>
          <w:color w:val="000000"/>
          <w:spacing w:val="20"/>
          <w:szCs w:val="21"/>
          <w:highlight w:val="none"/>
        </w:rPr>
      </w:r>
      <w:r/>
    </w:p>
    <w:p>
      <w:pPr>
        <w:pStyle w:val="1107"/>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107"/>
        <w:jc w:val="center"/>
        <w:rPr>
          <w:color w:val="000000"/>
          <w:szCs w:val="21"/>
          <w:highlight w:val="none"/>
        </w:rPr>
        <w:outlineLvl w:val="9"/>
      </w:pPr>
      <w:r>
        <w:rPr>
          <w:color w:val="000000"/>
          <w:szCs w:val="21"/>
          <w:highlight w:val="none"/>
        </w:rPr>
      </w:r>
      <w:r/>
    </w:p>
    <w:p>
      <w:pPr>
        <w:pStyle w:val="1107"/>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1107"/>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1107"/>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1107"/>
        <w:ind w:firstLine="542"/>
        <w:rPr>
          <w:b/>
          <w:color w:val="000000"/>
          <w:spacing w:val="20"/>
          <w:sz w:val="32"/>
          <w:szCs w:val="32"/>
          <w:highlight w:val="none"/>
        </w:rPr>
        <w:outlineLvl w:val="9"/>
      </w:pPr>
      <w:r>
        <w:rPr>
          <w:b/>
          <w:color w:val="000000"/>
          <w:spacing w:val="20"/>
          <w:sz w:val="32"/>
          <w:szCs w:val="32"/>
          <w:highlight w:val="none"/>
        </w:rPr>
      </w:r>
      <w:r/>
    </w:p>
    <w:p>
      <w:pPr>
        <w:pStyle w:val="1107"/>
        <w:ind w:firstLine="542"/>
        <w:rPr>
          <w:b/>
          <w:color w:val="000000"/>
          <w:spacing w:val="20"/>
          <w:sz w:val="32"/>
          <w:szCs w:val="32"/>
          <w:highlight w:val="none"/>
        </w:rPr>
        <w:outlineLvl w:val="9"/>
      </w:pPr>
      <w:r>
        <w:rPr>
          <w:b/>
          <w:color w:val="000000"/>
          <w:spacing w:val="20"/>
          <w:sz w:val="32"/>
          <w:szCs w:val="32"/>
          <w:highlight w:val="none"/>
        </w:rPr>
      </w:r>
      <w:r/>
    </w:p>
    <w:p>
      <w:pPr>
        <w:pStyle w:val="1107"/>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07"/>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07"/>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07"/>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07"/>
        <w:jc w:val="center"/>
        <w:rPr>
          <w:b/>
          <w:color w:val="000000"/>
          <w:sz w:val="32"/>
          <w:szCs w:val="32"/>
          <w:highlight w:val="none"/>
        </w:rPr>
        <w:outlineLvl w:val="9"/>
      </w:pPr>
      <w:r>
        <w:rPr>
          <w:b/>
          <w:color w:val="000000"/>
          <w:sz w:val="32"/>
          <w:szCs w:val="32"/>
          <w:highlight w:val="none"/>
        </w:rPr>
      </w:r>
      <w:r/>
    </w:p>
    <w:p>
      <w:pPr>
        <w:pStyle w:val="110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07"/>
        <w:rPr>
          <w:b/>
          <w:color w:val="000000"/>
          <w:highlight w:val="none"/>
        </w:rPr>
      </w:pPr>
      <w:r>
        <w:rPr>
          <w:b/>
          <w:color w:val="000000"/>
          <w:highlight w:val="none"/>
        </w:rPr>
      </w:r>
      <w:r/>
    </w:p>
    <w:p>
      <w:pPr>
        <w:pStyle w:val="1107"/>
        <w:spacing w:line="360" w:lineRule="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07"/>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 </w:t>
      </w:r>
      <w:r>
        <w:rPr>
          <w:b/>
          <w:bCs/>
          <w:color w:val="000000"/>
          <w:highlight w:val="none"/>
        </w:rPr>
      </w:r>
      <w:r/>
    </w:p>
    <w:p>
      <w:pPr>
        <w:pStyle w:val="1107"/>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110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21"/>
        <w:ind w:firstLine="480"/>
        <w:spacing w:line="460" w:lineRule="exact"/>
        <w:rPr>
          <w:color w:val="000000"/>
          <w:highlight w:val="none"/>
        </w:rPr>
      </w:pP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致：江苏尚阳工程管理有限公司</w:t>
      </w:r>
      <w:r>
        <w:rPr>
          <w:color w:val="000000"/>
          <w:highlight w:val="none"/>
        </w:rPr>
      </w:r>
      <w:r/>
    </w:p>
    <w:p>
      <w:pPr>
        <w:pStyle w:val="1121"/>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21"/>
        <w:ind w:firstLine="480"/>
        <w:spacing w:line="460" w:lineRule="exact"/>
        <w:rPr>
          <w:color w:val="000000"/>
          <w:highlight w:val="none"/>
        </w:rPr>
      </w:pP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21"/>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21"/>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21"/>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21"/>
        <w:ind w:firstLine="480"/>
        <w:spacing w:line="460" w:lineRule="exact"/>
        <w:rPr>
          <w:color w:val="000000"/>
          <w:highlight w:val="none"/>
        </w:rPr>
      </w:pP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21"/>
        <w:ind w:firstLine="480"/>
        <w:spacing w:line="460" w:lineRule="exact"/>
        <w:rPr>
          <w:color w:val="000000"/>
          <w:highlight w:val="none"/>
        </w:rPr>
      </w:pPr>
      <w:r>
        <w:rPr>
          <w:color w:val="000000"/>
          <w:highlight w:val="none"/>
        </w:rPr>
      </w:r>
      <w:r/>
    </w:p>
    <w:p>
      <w:pPr>
        <w:pStyle w:val="1121"/>
        <w:ind w:firstLine="480"/>
        <w:spacing w:line="460" w:lineRule="exact"/>
        <w:rPr>
          <w:color w:val="000000"/>
          <w:highlight w:val="none"/>
        </w:rPr>
      </w:pP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121"/>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21"/>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1107"/>
        <w:spacing w:line="360" w:lineRule="auto"/>
        <w:rPr>
          <w:color w:val="000000"/>
          <w:sz w:val="24"/>
          <w:highlight w:val="none"/>
        </w:rPr>
      </w:pPr>
      <w:r>
        <w:rPr>
          <w:color w:val="000000"/>
          <w:sz w:val="24"/>
          <w:highlight w:val="none"/>
        </w:rPr>
      </w:r>
      <w:r/>
    </w:p>
    <w:p>
      <w:pPr>
        <w:pStyle w:val="1107"/>
        <w:spacing w:line="360" w:lineRule="auto"/>
        <w:rPr>
          <w:color w:val="000000"/>
          <w:sz w:val="24"/>
          <w:highlight w:val="none"/>
        </w:rPr>
      </w:pPr>
      <w:r>
        <w:rPr>
          <w:color w:val="000000"/>
          <w:sz w:val="24"/>
          <w:highlight w:val="none"/>
        </w:rPr>
      </w:r>
      <w:r/>
    </w:p>
    <w:p>
      <w:pPr>
        <w:pStyle w:val="1107"/>
        <w:spacing w:line="360" w:lineRule="auto"/>
        <w:rPr>
          <w:color w:val="000000"/>
          <w:sz w:val="24"/>
          <w:highlight w:val="none"/>
        </w:rPr>
      </w:pPr>
      <w:r>
        <w:rPr>
          <w:color w:val="000000"/>
          <w:sz w:val="24"/>
          <w:highlight w:val="none"/>
        </w:rPr>
      </w:r>
      <w:r/>
    </w:p>
    <w:p>
      <w:pPr>
        <w:pStyle w:val="1107"/>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投标人承诺不实的，依据《政府采购法》第七十七条“提供虚假材料谋取中标的”有关规定予以处理</w:t>
      </w:r>
      <w:r>
        <w:rPr>
          <w:color w:val="000000"/>
          <w:sz w:val="24"/>
          <w:highlight w:val="none"/>
        </w:rPr>
        <w:t xml:space="preserve">。</w:t>
      </w:r>
      <w:r>
        <w:rPr>
          <w:color w:val="000000"/>
          <w:sz w:val="24"/>
          <w:highlight w:val="none"/>
        </w:rPr>
      </w:r>
      <w:r/>
    </w:p>
    <w:p>
      <w:pPr>
        <w:pStyle w:val="1107"/>
        <w:spacing w:line="360" w:lineRule="auto"/>
        <w:tabs>
          <w:tab w:val="left" w:pos="5580" w:leader="none"/>
        </w:tabs>
        <w:rPr>
          <w:color w:val="000000"/>
          <w:sz w:val="24"/>
          <w:highlight w:val="none"/>
        </w:rPr>
        <w:sectPr>
          <w:headerReference w:type="default" r:id="rId15"/>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107"/>
        <w:jc w:val="left"/>
        <w:widowControl/>
        <w:rPr>
          <w:b/>
          <w:bCs/>
          <w:color w:val="000000"/>
          <w:sz w:val="24"/>
          <w:highlight w:val="none"/>
        </w:rPr>
      </w:pPr>
      <w:r>
        <w:rPr>
          <w:b/>
          <w:bCs/>
          <w:color w:val="000000"/>
          <w:sz w:val="24"/>
          <w:highlight w:val="none"/>
        </w:rPr>
      </w:r>
      <w:r/>
    </w:p>
    <w:p>
      <w:pPr>
        <w:pStyle w:val="1107"/>
        <w:spacing w:line="360" w:lineRule="auto"/>
        <w:rPr>
          <w:rFonts w:hint="eastAsia" w:ascii="Times New Roman" w:hAnsi="Times New Roman" w:eastAsia="宋体" w:cs="Times New Roman"/>
          <w:color w:val="000000"/>
          <w:sz w:val="24"/>
          <w:highlight w:val="none"/>
        </w:rPr>
      </w:pPr>
      <w:r>
        <w:rPr>
          <w:rFonts w:hint="eastAsia"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 本项目的特定资格要求</w:t>
      </w:r>
      <w:r>
        <w:rPr>
          <w:rFonts w:hint="eastAsia" w:ascii="Times New Roman" w:hAnsi="Times New Roman" w:eastAsia="宋体" w:cs="Times New Roman"/>
          <w:color w:val="000000"/>
          <w:sz w:val="24"/>
          <w:highlight w:val="none"/>
        </w:rPr>
      </w:r>
      <w:r/>
    </w:p>
    <w:p>
      <w:pPr>
        <w:pStyle w:val="1124"/>
        <w:rPr>
          <w:rFonts w:hint="eastAsia" w:eastAsia="宋体"/>
          <w:color w:val="000000"/>
          <w:sz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w:t>
      </w:r>
      <w:r>
        <w:rPr>
          <w:rFonts w:hint="eastAsia"/>
          <w:color w:val="000000"/>
          <w:sz w:val="24"/>
          <w:highlight w:val="none"/>
          <w:u w:val="single"/>
          <w:lang w:eastAsia="zh-CN"/>
        </w:rPr>
        <w:t xml:space="preserve">。</w:t>
      </w:r>
      <w:r>
        <w:rPr>
          <w:rFonts w:hint="eastAsia" w:eastAsia="宋体"/>
          <w:color w:val="000000"/>
          <w:sz w:val="24"/>
          <w:highlight w:val="none"/>
          <w:u w:val="single"/>
          <w:lang w:eastAsia="zh-CN"/>
        </w:rPr>
      </w:r>
      <w:r/>
    </w:p>
    <w:p>
      <w:pPr>
        <w:pStyle w:val="1107"/>
        <w:spacing w:line="360" w:lineRule="auto"/>
        <w:rPr>
          <w:rFonts w:ascii="宋体" w:hAnsi="宋体"/>
          <w:b/>
          <w:color w:val="000000"/>
          <w:sz w:val="32"/>
          <w:szCs w:val="32"/>
          <w:highlight w:val="none"/>
        </w:rPr>
      </w:pPr>
      <w:r>
        <w:rPr>
          <w:rFonts w:hint="eastAsia" w:ascii="宋体" w:hAnsi="宋体" w:cs="宋体"/>
          <w:color w:val="000000"/>
          <w:sz w:val="24"/>
          <w:highlight w:val="none"/>
          <w:u w:val="none"/>
          <w:lang w:val="en-US" w:eastAsia="zh-CN"/>
        </w:rPr>
        <w:t xml:space="preserve">       </w:t>
      </w:r>
      <w:r>
        <w:rPr>
          <w:rFonts w:hint="eastAsia" w:ascii="Times New Roman" w:hAnsi="Times New Roman" w:eastAsia="宋体" w:cs="Times New Roman"/>
          <w:color w:val="000000"/>
          <w:sz w:val="24"/>
          <w:highlight w:val="none"/>
        </w:rPr>
        <w:br w:type="page" w:clear="all"/>
      </w:r>
      <w:r>
        <w:rPr>
          <w:rFonts w:ascii="宋体" w:hAnsi="宋体"/>
          <w:b/>
          <w:color w:val="000000"/>
          <w:sz w:val="32"/>
          <w:szCs w:val="32"/>
          <w:highlight w:val="none"/>
        </w:rPr>
        <w:t xml:space="preserve">二、商务技术文件格式</w:t>
      </w:r>
      <w:bookmarkStart w:id="817" w:name="_Toc226965829"/>
      <w:r/>
      <w:bookmarkStart w:id="818" w:name="_Toc142311058"/>
      <w:r/>
      <w:bookmarkStart w:id="819" w:name="_Toc127151556"/>
      <w:r/>
      <w:bookmarkStart w:id="820" w:name="_Toc520356217"/>
      <w:r/>
      <w:bookmarkStart w:id="821" w:name="_Toc195842921"/>
      <w:r/>
      <w:bookmarkStart w:id="822" w:name="_Toc480942349"/>
      <w:r/>
      <w:bookmarkStart w:id="823" w:name="_Toc226337252"/>
      <w:r/>
      <w:bookmarkStart w:id="824" w:name="_Toc226965746"/>
      <w:r/>
      <w:bookmarkStart w:id="825" w:name="_Toc150774761"/>
      <w:r/>
      <w:bookmarkStart w:id="826" w:name="_Ref467988698"/>
      <w:r/>
      <w:bookmarkStart w:id="827" w:name="_Toc226309800"/>
      <w:r/>
      <w:bookmarkStart w:id="828" w:name="_Toc150480794"/>
      <w:r>
        <w:rPr>
          <w:rFonts w:ascii="宋体" w:hAnsi="宋体"/>
          <w:b/>
          <w:color w:val="000000"/>
          <w:sz w:val="32"/>
          <w:szCs w:val="32"/>
          <w:highlight w:val="none"/>
        </w:rPr>
      </w:r>
      <w:r/>
    </w:p>
    <w:p>
      <w:pPr>
        <w:pStyle w:val="1107"/>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107"/>
        <w:spacing w:line="360" w:lineRule="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rFonts w:hint="eastAsia"/>
          <w:color w:val="000000"/>
          <w:sz w:val="24"/>
          <w:szCs w:val="20"/>
          <w:highlight w:val="none"/>
        </w:rPr>
        <w:t xml:space="preserve"> </w:t>
      </w:r>
      <w:r>
        <w:rPr>
          <w:color w:val="000000"/>
          <w:sz w:val="24"/>
          <w:szCs w:val="20"/>
          <w:highlight w:val="none"/>
        </w:rPr>
      </w:r>
      <w:r/>
    </w:p>
    <w:p>
      <w:pPr>
        <w:pStyle w:val="1107"/>
        <w:spacing w:line="360" w:lineRule="auto"/>
        <w:tabs>
          <w:tab w:val="left" w:pos="5580" w:leader="none"/>
        </w:tabs>
        <w:rPr>
          <w:color w:val="000000"/>
          <w:sz w:val="24"/>
          <w:highlight w:val="none"/>
        </w:rPr>
      </w:pPr>
      <w:r>
        <w:rPr>
          <w:color w:val="000000"/>
          <w:sz w:val="24"/>
          <w:highlight w:val="none"/>
        </w:rPr>
      </w:r>
      <w:r/>
    </w:p>
    <w:p>
      <w:pPr>
        <w:pStyle w:val="1107"/>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10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07"/>
        <w:spacing w:line="360" w:lineRule="auto"/>
        <w:tabs>
          <w:tab w:val="left" w:pos="5580" w:leader="none"/>
        </w:tabs>
        <w:rPr>
          <w:color w:val="000000"/>
          <w:sz w:val="24"/>
          <w:szCs w:val="20"/>
          <w:highlight w:val="none"/>
        </w:rPr>
      </w:pPr>
      <w:r>
        <w:rPr>
          <w:color w:val="000000"/>
          <w:sz w:val="24"/>
          <w:szCs w:val="20"/>
          <w:highlight w:val="none"/>
        </w:rPr>
      </w:r>
      <w:r/>
    </w:p>
    <w:p>
      <w:pPr>
        <w:pStyle w:val="1107"/>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110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0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0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0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0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110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07"/>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0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0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07"/>
        <w:jc w:val="left"/>
        <w:widowControl/>
        <w:rPr>
          <w:color w:val="000000"/>
          <w:sz w:val="24"/>
          <w:highlight w:val="none"/>
        </w:rPr>
      </w:pPr>
      <w:r/>
      <w:bookmarkStart w:id="829" w:name="_Hlt520355938"/>
      <w:r/>
      <w:bookmarkEnd w:id="829"/>
      <w:r/>
      <w:bookmarkStart w:id="830" w:name="_Hlt520356243"/>
      <w:r/>
      <w:bookmarkEnd w:id="8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ascii="Times New Roman" w:hAnsi="Times New Roman" w:eastAsia="宋体" w:cs="Times New Roman"/>
          <w:color w:val="000000"/>
          <w:sz w:val="24"/>
          <w:highlight w:val="none"/>
        </w:rPr>
        <w:t xml:space="preserve">法定代表人资格证明书 </w:t>
      </w:r>
      <w:r>
        <w:rPr>
          <w:color w:val="000000"/>
          <w:sz w:val="24"/>
          <w:highlight w:val="none"/>
        </w:rPr>
      </w:r>
      <w:r/>
    </w:p>
    <w:p>
      <w:pPr>
        <w:pStyle w:val="1107"/>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07"/>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法定代表人资格证明书</w:t>
      </w:r>
      <w:r>
        <w:rPr>
          <w:rFonts w:hint="eastAsia" w:ascii="宋体" w:hAnsi="宋体" w:eastAsia="宋体" w:cs="Times New Roman"/>
          <w:b/>
          <w:color w:val="000000"/>
          <w:sz w:val="32"/>
          <w:szCs w:val="32"/>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（投标供应商名称）</w:t>
      </w:r>
      <w:r>
        <w:rPr>
          <w:rFonts w:hint="eastAsia" w:ascii="宋体" w:hAnsi="宋体"/>
          <w:color w:val="000000"/>
          <w:sz w:val="24"/>
          <w:highlight w:val="none"/>
        </w:rPr>
        <w:t xml:space="preserve">的法定代表</w:t>
      </w:r>
      <w:r>
        <w:rPr>
          <w:rFonts w:hint="eastAsia" w:ascii="宋体" w:hAnsi="宋体" w:eastAsia="宋体" w:cs="Times New Roman"/>
          <w:color w:val="000000"/>
          <w:sz w:val="24"/>
          <w:highlight w:val="none"/>
        </w:rPr>
        <w:t xml:space="preserve">人</w:t>
      </w:r>
      <w:r>
        <w:rPr>
          <w:rFonts w:hint="eastAsia" w:ascii="宋体" w:hAnsi="宋体"/>
          <w:color w:val="000000"/>
          <w:sz w:val="24"/>
          <w:highlight w:val="none"/>
        </w:rPr>
        <w:t xml:space="preserve">。为参与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ascii="宋体" w:hAnsi="宋体"/>
          <w:color w:val="000000"/>
          <w:sz w:val="24"/>
          <w:highlight w:val="none"/>
        </w:rPr>
      </w:r>
      <w:r/>
    </w:p>
    <w:p>
      <w:pPr>
        <w:pStyle w:val="114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                     投标供应商：（加盖公章）</w:t>
      </w:r>
      <w:r>
        <w:rPr>
          <w:rFonts w:ascii="宋体" w:hAnsi="宋体"/>
          <w:color w:val="000000"/>
          <w:sz w:val="24"/>
          <w:highlight w:val="none"/>
        </w:rPr>
      </w:r>
      <w:r/>
    </w:p>
    <w:p>
      <w:pPr>
        <w:pStyle w:val="110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hint="eastAsia" w:ascii="宋体" w:hAnsi="宋体" w:eastAsia="宋体" w:cs="Times New Roman"/>
          <w:color w:val="000000"/>
          <w:sz w:val="24"/>
          <w:highlight w:val="none"/>
        </w:rPr>
        <w:t xml:space="preserve">签</w:t>
      </w:r>
      <w:r>
        <w:rPr>
          <w:rFonts w:ascii="宋体" w:hAnsi="宋体"/>
          <w:color w:val="000000"/>
          <w:sz w:val="24"/>
          <w:szCs w:val="20"/>
          <w:highlight w:val="none"/>
        </w:rPr>
        <w:t xml:space="preserve">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0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07"/>
        <w:jc w:val="left"/>
        <w:widowControl/>
        <w:rPr>
          <w:color w:val="000000"/>
          <w:sz w:val="24"/>
          <w:highlight w:val="none"/>
        </w:rPr>
      </w:pPr>
      <w:r>
        <w:rPr>
          <w:color w:val="000000"/>
          <w:sz w:val="24"/>
          <w:highlight w:val="none"/>
        </w:rPr>
      </w:r>
      <w:r/>
    </w:p>
    <w:p>
      <w:pPr>
        <w:pStyle w:val="1107"/>
        <w:rPr>
          <w:color w:val="000000"/>
          <w:highlight w:val="none"/>
        </w:rPr>
      </w:pPr>
      <w:r>
        <w:rPr>
          <w:color w:val="000000"/>
          <w:highlight w:val="none"/>
        </w:rPr>
      </w:r>
      <w:r/>
    </w:p>
    <w:p>
      <w:pPr>
        <w:pStyle w:val="1107"/>
        <w:jc w:val="lef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 </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1107"/>
        <w:jc w:val="left"/>
        <w:widowControl/>
        <w:rPr>
          <w:color w:val="000000"/>
          <w:sz w:val="24"/>
          <w:highlight w:val="none"/>
        </w:rPr>
      </w:pPr>
      <w:r>
        <w:rPr>
          <w:color w:val="000000"/>
          <w:sz w:val="24"/>
          <w:highlight w:val="none"/>
        </w:rPr>
      </w:r>
      <w:r/>
    </w:p>
    <w:p>
      <w:pPr>
        <w:pStyle w:val="1107"/>
        <w:jc w:val="left"/>
        <w:widowControl/>
        <w:rPr>
          <w:color w:val="000000"/>
          <w:sz w:val="24"/>
          <w:highlight w:val="none"/>
        </w:rPr>
      </w:pPr>
      <w:r>
        <w:rPr>
          <w:color w:val="000000"/>
          <w:sz w:val="24"/>
          <w:highlight w:val="none"/>
        </w:rPr>
      </w:r>
      <w:r/>
    </w:p>
    <w:p>
      <w:pPr>
        <w:pStyle w:val="1107"/>
        <w:jc w:val="left"/>
        <w:widowControl/>
        <w:rPr>
          <w:rFonts w:hint="eastAsia"/>
          <w:color w:val="000000"/>
          <w:sz w:val="24"/>
          <w:highlight w:val="none"/>
        </w:rPr>
        <w:sectPr>
          <w:headerReference w:type="default" r:id="rId16"/>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1107"/>
        <w:jc w:val="left"/>
        <w:widowControl/>
        <w:rPr>
          <w:color w:val="000000"/>
          <w:sz w:val="24"/>
          <w:highlight w:val="none"/>
        </w:rPr>
      </w:pPr>
      <w:r>
        <w:rPr>
          <w:rFonts w:hint="eastAsia"/>
          <w:color w:val="000000"/>
          <w:sz w:val="24"/>
          <w:highlight w:val="none"/>
        </w:rPr>
        <w:t xml:space="preserve">3  政府采购供应商信用承诺书</w:t>
      </w:r>
      <w:r>
        <w:rPr>
          <w:rFonts w:hint="eastAsia"/>
          <w:color w:val="000000"/>
          <w:sz w:val="24"/>
          <w:szCs w:val="20"/>
          <w:highlight w:val="none"/>
        </w:rPr>
        <w:t xml:space="preserve"> </w:t>
      </w:r>
      <w:r>
        <w:rPr>
          <w:color w:val="000000"/>
          <w:sz w:val="24"/>
          <w:highlight w:val="none"/>
        </w:rPr>
      </w:r>
      <w:r/>
    </w:p>
    <w:p>
      <w:pPr>
        <w:pStyle w:val="1107"/>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07"/>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07"/>
        <w:ind w:firstLine="640"/>
        <w:rPr>
          <w:color w:val="000000"/>
          <w:highlight w:val="none"/>
        </w:rPr>
      </w:pPr>
      <w:r>
        <w:rPr>
          <w:color w:val="000000"/>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000000"/>
          <w:sz w:val="24"/>
          <w:highlight w:val="none"/>
          <w:lang w:val="en-US" w:eastAsia="zh-CN"/>
        </w:rPr>
        <w:t xml:space="preserve">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jc w:val="left"/>
        <w:widowControl/>
        <w:rPr>
          <w:color w:val="000000"/>
          <w:sz w:val="24"/>
          <w:szCs w:val="20"/>
          <w:highlight w:val="none"/>
        </w:rPr>
      </w:pPr>
      <w:r/>
      <w:bookmarkStart w:id="831" w:name="_Hlt520343000"/>
      <w:r/>
      <w:bookmarkEnd w:id="831"/>
      <w:r/>
      <w:bookmarkStart w:id="832" w:name="_Hlt520343392"/>
      <w:r/>
      <w:bookmarkEnd w:id="832"/>
      <w:r/>
      <w:bookmarkStart w:id="833" w:name="_Hlt520355504"/>
      <w:r/>
      <w:bookmarkEnd w:id="833"/>
      <w:r/>
      <w:bookmarkStart w:id="834" w:name="_Hlt520350918"/>
      <w:r/>
      <w:bookmarkEnd w:id="834"/>
      <w:r/>
      <w:bookmarkStart w:id="835" w:name="_Hlt520274121"/>
      <w:r/>
      <w:bookmarkEnd w:id="835"/>
      <w:r/>
      <w:bookmarkStart w:id="836" w:name="_Hlt520271212"/>
      <w:r/>
      <w:bookmarkEnd w:id="836"/>
      <w:r/>
      <w:bookmarkStart w:id="837" w:name="_Hlt520274407"/>
      <w:r/>
      <w:bookmarkEnd w:id="837"/>
      <w:r/>
      <w:bookmarkStart w:id="838" w:name="_Hlt520273711"/>
      <w:r/>
      <w:bookmarkEnd w:id="838"/>
      <w:r/>
      <w:bookmarkStart w:id="839" w:name="_Hlt520274393"/>
      <w:r/>
      <w:bookmarkEnd w:id="839"/>
      <w:r/>
      <w:bookmarkStart w:id="840" w:name="_Hlt520274065"/>
      <w:r/>
      <w:bookmarkEnd w:id="840"/>
      <w:r/>
      <w:bookmarkStart w:id="841" w:name="_Toc150480795"/>
      <w:r/>
      <w:bookmarkStart w:id="842" w:name="_Toc150774762"/>
      <w:r/>
      <w:bookmarkStart w:id="843" w:name="_Toc305158825"/>
      <w:r/>
      <w:bookmarkStart w:id="844" w:name="_Ref467988705"/>
      <w:r/>
      <w:bookmarkStart w:id="845" w:name="_Toc265228395"/>
      <w:r/>
      <w:bookmarkStart w:id="846" w:name="_Toc226337253"/>
      <w:r/>
      <w:bookmarkStart w:id="847" w:name="_Toc264969247"/>
      <w:r/>
      <w:bookmarkStart w:id="848" w:name="_Toc127151557"/>
      <w:r/>
      <w:bookmarkStart w:id="849" w:name="_Toc520356218"/>
      <w:r/>
      <w:bookmarkStart w:id="850" w:name="_Toc480942350"/>
      <w:r/>
      <w:bookmarkStart w:id="851" w:name="_Toc226309801"/>
      <w:r/>
      <w:bookmarkStart w:id="852" w:name="_Toc226965830"/>
      <w:r/>
      <w:bookmarkStart w:id="853" w:name="_Toc305158899"/>
      <w:r/>
      <w:bookmarkStart w:id="854" w:name="_Toc195842922"/>
      <w:r/>
      <w:bookmarkStart w:id="855" w:name="_Toc142311059"/>
      <w:r/>
      <w:bookmarkStart w:id="856" w:name="_Toc226965747"/>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r>
      <w:r/>
    </w:p>
    <w:p>
      <w:pPr>
        <w:pStyle w:val="1107"/>
        <w:jc w:val="center"/>
        <w:keepLines w:val="0"/>
        <w:keepNext w:val="0"/>
        <w:pageBreakBefore w:val="0"/>
        <w:spacing w:before="233" w:line="360" w:lineRule="exact"/>
        <w:widowControl w:val="off"/>
        <w:rPr>
          <w:b/>
          <w:color w:val="000000"/>
          <w:sz w:val="36"/>
          <w:szCs w:val="36"/>
          <w:highlight w:val="none"/>
        </w:rPr>
      </w:pPr>
      <w:r/>
      <w:bookmarkStart w:id="857" w:name="_Toc264969248"/>
      <w:r/>
      <w:bookmarkStart w:id="858" w:name="_Toc195842923"/>
      <w:r/>
      <w:bookmarkStart w:id="859" w:name="_Toc164608672"/>
      <w:r/>
      <w:bookmarkStart w:id="860" w:name="_Toc226309802"/>
      <w:r/>
      <w:bookmarkStart w:id="861" w:name="_Toc305158826"/>
      <w:r/>
      <w:bookmarkStart w:id="862" w:name="_Toc265228396"/>
      <w:r/>
      <w:bookmarkStart w:id="863" w:name="_Toc226337254"/>
      <w:r/>
      <w:bookmarkStart w:id="864" w:name="_Toc226965748"/>
      <w:r/>
      <w:bookmarkStart w:id="865" w:name="_Toc305158900"/>
      <w:r/>
      <w:bookmarkStart w:id="866" w:name="_Toc226965831"/>
      <w:r/>
      <w:bookmarkStart w:id="867" w:name="_Toc164608827"/>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highlight w:val="none"/>
        </w:rPr>
      </w:r>
      <w:r/>
    </w:p>
    <w:p>
      <w:pPr>
        <w:pStyle w:val="1107"/>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107"/>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6"/>
        <w:gridCol w:w="3"/>
        <w:gridCol w:w="1984"/>
      </w:tblGrid>
      <w:tr>
        <w:trPr>
          <w:trHeight w:val="865"/>
        </w:trPr>
        <w:tc>
          <w:tcPr>
            <w:tcW w:w="690" w:type="dxa"/>
            <w:vAlign w:val="center"/>
            <w:vMerge w:val="restart"/>
            <w:textDirection w:val="lrTb"/>
            <w:noWrap w:val="false"/>
          </w:tcPr>
          <w:p>
            <w:pPr>
              <w:pStyle w:val="1107"/>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110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3"/>
            <w:tcW w:w="3973" w:type="dxa"/>
            <w:vAlign w:val="center"/>
            <w:textDirection w:val="lrTb"/>
            <w:noWrap w:val="false"/>
          </w:tcPr>
          <w:p>
            <w:pPr>
              <w:pStyle w:val="1107"/>
              <w:jc w:val="center"/>
              <w:tabs>
                <w:tab w:val="left" w:pos="5580" w:leader="none"/>
              </w:tabs>
              <w:rPr>
                <w:rFonts w:hint="eastAsia" w:eastAsia="宋体"/>
                <w:b/>
                <w:color w:val="000000"/>
                <w:sz w:val="24"/>
                <w:highlight w:val="none"/>
                <w:lang w:val="en-US" w:eastAsia="zh-CN"/>
              </w:rPr>
            </w:pPr>
            <w:r>
              <w:rPr>
                <w:rFonts w:hint="eastAsia"/>
                <w:b/>
                <w:color w:val="000000"/>
                <w:sz w:val="24"/>
                <w:highlight w:val="none"/>
                <w:lang w:val="en-US" w:eastAsia="zh-CN"/>
              </w:rPr>
              <w:t xml:space="preserve">投标报</w:t>
            </w:r>
            <w:r>
              <w:rPr>
                <w:rFonts w:hint="eastAsia" w:ascii="Times New Roman" w:hAnsi="Times New Roman" w:eastAsia="宋体" w:cs="Times New Roman"/>
                <w:b/>
                <w:color w:val="000000"/>
                <w:sz w:val="24"/>
                <w:highlight w:val="none"/>
                <w:lang w:val="en-US" w:eastAsia="zh-CN"/>
              </w:rPr>
              <w:t xml:space="preserve">价</w:t>
            </w:r>
            <w:r>
              <w:rPr>
                <w:rFonts w:hint="eastAsia"/>
                <w:b/>
                <w:color w:val="000000"/>
                <w:sz w:val="24"/>
                <w:highlight w:val="none"/>
              </w:rPr>
              <w:t xml:space="preserve">（元）</w:t>
            </w:r>
            <w:r>
              <w:rPr>
                <w:rFonts w:hint="eastAsia" w:eastAsia="宋体"/>
                <w:b/>
                <w:color w:val="000000"/>
                <w:sz w:val="24"/>
                <w:highlight w:val="none"/>
                <w:lang w:val="en-US" w:eastAsia="zh-CN"/>
              </w:rPr>
            </w:r>
            <w:r/>
          </w:p>
        </w:tc>
      </w:tr>
      <w:tr>
        <w:trPr>
          <w:trHeight w:val="865"/>
        </w:trPr>
        <w:tc>
          <w:tcPr>
            <w:tcW w:w="690" w:type="dxa"/>
            <w:vAlign w:val="center"/>
            <w:vMerge w:val="continue"/>
            <w:textDirection w:val="lrTb"/>
            <w:noWrap w:val="false"/>
          </w:tcPr>
          <w:p>
            <w:pPr>
              <w:pStyle w:val="1107"/>
              <w:jc w:val="center"/>
              <w:tabs>
                <w:tab w:val="left" w:pos="5580" w:leader="none"/>
              </w:tabs>
              <w:rPr>
                <w:b/>
                <w:color w:val="000000"/>
                <w:sz w:val="24"/>
                <w:highlight w:val="none"/>
              </w:rPr>
            </w:pPr>
            <w:r>
              <w:rPr>
                <w:b/>
                <w:color w:val="000000"/>
                <w:sz w:val="24"/>
                <w:highlight w:val="none"/>
              </w:rPr>
            </w:r>
            <w:r/>
          </w:p>
        </w:tc>
        <w:tc>
          <w:tcPr>
            <w:tcW w:w="3709" w:type="dxa"/>
            <w:vAlign w:val="center"/>
            <w:vMerge w:val="continue"/>
            <w:textDirection w:val="lrTb"/>
            <w:noWrap w:val="false"/>
          </w:tcPr>
          <w:p>
            <w:pPr>
              <w:pStyle w:val="1107"/>
              <w:jc w:val="center"/>
              <w:tabs>
                <w:tab w:val="left" w:pos="5580" w:leader="none"/>
              </w:tabs>
              <w:rPr>
                <w:b/>
                <w:color w:val="000000"/>
                <w:sz w:val="24"/>
                <w:highlight w:val="none"/>
              </w:rPr>
            </w:pPr>
            <w:r>
              <w:rPr>
                <w:b/>
                <w:color w:val="000000"/>
                <w:sz w:val="24"/>
                <w:highlight w:val="none"/>
              </w:rPr>
            </w:r>
            <w:r/>
          </w:p>
        </w:tc>
        <w:tc>
          <w:tcPr>
            <w:tcW w:w="1986" w:type="dxa"/>
            <w:vAlign w:val="center"/>
            <w:vMerge w:val="restart"/>
            <w:textDirection w:val="lrTb"/>
            <w:noWrap w:val="false"/>
          </w:tcPr>
          <w:p>
            <w:pPr>
              <w:pStyle w:val="1107"/>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gridSpan w:val="2"/>
            <w:tcW w:w="1987" w:type="dxa"/>
            <w:vAlign w:val="center"/>
            <w:vMerge w:val="restart"/>
            <w:textDirection w:val="lrTb"/>
            <w:noWrap w:val="false"/>
          </w:tcPr>
          <w:p>
            <w:pPr>
              <w:pStyle w:val="1107"/>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1107"/>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1107"/>
              <w:jc w:val="center"/>
              <w:tabs>
                <w:tab w:val="left" w:pos="5580" w:leader="none"/>
              </w:tabs>
              <w:rPr>
                <w:color w:val="000000"/>
                <w:sz w:val="24"/>
                <w:highlight w:val="none"/>
              </w:rPr>
            </w:pPr>
            <w:r>
              <w:rPr>
                <w:color w:val="000000"/>
                <w:sz w:val="24"/>
                <w:highlight w:val="none"/>
              </w:rPr>
            </w:r>
            <w:r/>
          </w:p>
        </w:tc>
        <w:tc>
          <w:tcPr>
            <w:gridSpan w:val="2"/>
            <w:tcW w:w="1989" w:type="dxa"/>
            <w:vAlign w:val="center"/>
            <w:textDirection w:val="lrTb"/>
            <w:noWrap w:val="false"/>
          </w:tcPr>
          <w:p>
            <w:pPr>
              <w:pStyle w:val="1107"/>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1107"/>
              <w:jc w:val="center"/>
              <w:tabs>
                <w:tab w:val="left" w:pos="5580" w:leader="none"/>
              </w:tabs>
              <w:rPr>
                <w:color w:val="000000"/>
                <w:sz w:val="24"/>
                <w:highlight w:val="none"/>
              </w:rPr>
            </w:pPr>
            <w:r>
              <w:rPr>
                <w:color w:val="000000"/>
                <w:sz w:val="24"/>
                <w:highlight w:val="none"/>
              </w:rPr>
            </w:r>
            <w:r/>
          </w:p>
        </w:tc>
      </w:tr>
    </w:tbl>
    <w:p>
      <w:pPr>
        <w:pStyle w:val="1107"/>
        <w:jc w:val="left"/>
        <w:rPr>
          <w:rFonts w:hint="eastAsia"/>
          <w:color w:val="000000"/>
          <w:sz w:val="24"/>
          <w:highlight w:val="none"/>
          <w:lang w:val="en-US" w:eastAsia="zh-CN"/>
        </w:rPr>
      </w:pPr>
      <w:r>
        <w:rPr>
          <w:rFonts w:hint="eastAsia"/>
          <w:color w:val="000000"/>
          <w:sz w:val="24"/>
          <w:highlight w:val="none"/>
          <w:lang w:val="en-US" w:eastAsia="zh-CN"/>
        </w:rPr>
      </w:r>
      <w:r/>
    </w:p>
    <w:p>
      <w:pPr>
        <w:pStyle w:val="1107"/>
        <w:spacing w:before="25" w:after="25" w:line="360" w:lineRule="auto"/>
        <w:rPr>
          <w:color w:val="000000"/>
          <w:sz w:val="24"/>
          <w:highlight w:val="none"/>
          <w:lang w:val="zh-CN"/>
        </w:rPr>
      </w:pPr>
      <w:r>
        <w:rPr>
          <w:rFonts w:hint="eastAsia"/>
          <w:color w:val="000000"/>
          <w:sz w:val="24"/>
          <w:highlight w:val="none"/>
          <w:lang w:val="zh-CN"/>
        </w:rPr>
        <w:t xml:space="preserve">注:此表中的投标报价应和《投标分项报价表》中的总价相一致。</w:t>
      </w:r>
      <w:r>
        <w:rPr>
          <w:color w:val="000000"/>
          <w:sz w:val="24"/>
          <w:highlight w:val="none"/>
          <w:lang w:val="zh-CN"/>
        </w:rPr>
      </w:r>
      <w:r/>
    </w:p>
    <w:p>
      <w:pPr>
        <w:pStyle w:val="1107"/>
        <w:spacing w:before="25" w:after="25" w:line="360" w:lineRule="auto"/>
        <w:rPr>
          <w:color w:val="000000"/>
          <w:sz w:val="24"/>
          <w:highlight w:val="none"/>
          <w:lang w:val="zh-CN"/>
        </w:rPr>
        <w:outlineLvl w:val="9"/>
      </w:pPr>
      <w:r>
        <w:rPr>
          <w:color w:val="000000"/>
          <w:sz w:val="24"/>
          <w:highlight w:val="none"/>
          <w:lang w:val="zh-CN"/>
        </w:rPr>
      </w:r>
      <w:r/>
    </w:p>
    <w:p>
      <w:pPr>
        <w:pStyle w:val="1107"/>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107"/>
        <w:spacing w:before="25" w:after="25" w:line="360" w:lineRule="auto"/>
        <w:rPr>
          <w:color w:val="000000"/>
          <w:sz w:val="24"/>
          <w:highlight w:val="none"/>
          <w:lang w:val="zh-CN"/>
        </w:rPr>
        <w:outlineLvl w:val="9"/>
      </w:pPr>
      <w:r>
        <w:rPr>
          <w:color w:val="000000"/>
          <w:sz w:val="24"/>
          <w:highlight w:val="none"/>
        </w:rPr>
        <w:t xml:space="preserve">投标</w:t>
      </w:r>
      <w:r>
        <w:rPr>
          <w:rFonts w:hint="eastAsia"/>
          <w:color w:val="000000"/>
          <w:sz w:val="24"/>
          <w:highlight w:val="none"/>
          <w:lang w:val="en-US" w:eastAsia="zh-CN"/>
        </w:rPr>
        <w:t xml:space="preserve">供应商</w:t>
      </w:r>
      <w:r>
        <w:rPr>
          <w:color w:val="000000"/>
          <w:sz w:val="24"/>
          <w:highlight w:val="none"/>
        </w:rPr>
        <w:t xml:space="preserve">名称（加盖公章）</w:t>
      </w:r>
      <w:r>
        <w:rPr>
          <w:color w:val="000000"/>
          <w:sz w:val="24"/>
          <w:highlight w:val="none"/>
          <w:lang w:val="zh-CN"/>
        </w:rPr>
        <w:t xml:space="preserve">：____________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jc w:val="left"/>
        <w:widowControl/>
        <w:rPr>
          <w:rFonts w:hint="eastAsia" w:eastAsia="宋体"/>
          <w:color w:val="000000"/>
          <w:sz w:val="24"/>
          <w:szCs w:val="20"/>
          <w:highlight w:val="none"/>
          <w:lang w:val="en-US" w:eastAsia="zh-CN"/>
        </w:rPr>
        <w:outlineLvl w:val="9"/>
      </w:pPr>
      <w:r/>
      <w:bookmarkStart w:id="868" w:name="_Toc226965832"/>
      <w:r/>
      <w:bookmarkStart w:id="869" w:name="_Toc305158901"/>
      <w:r/>
      <w:bookmarkStart w:id="870" w:name="_Toc127151558"/>
      <w:r/>
      <w:bookmarkStart w:id="871" w:name="_Toc142311060"/>
      <w:r/>
      <w:bookmarkStart w:id="872" w:name="_Toc226337255"/>
      <w:r/>
      <w:bookmarkStart w:id="873" w:name="_Toc150774763"/>
      <w:r/>
      <w:bookmarkStart w:id="874" w:name="_Toc150480796"/>
      <w:r/>
      <w:bookmarkStart w:id="875" w:name="_Toc226309803"/>
      <w:r/>
      <w:bookmarkStart w:id="876" w:name="_Toc226965749"/>
      <w:r/>
      <w:bookmarkStart w:id="877" w:name="_Toc265228397"/>
      <w:r/>
      <w:bookmarkStart w:id="878" w:name="_Toc305158827"/>
      <w:r/>
      <w:bookmarkStart w:id="879" w:name="_Toc264969249"/>
      <w:r/>
      <w:bookmarkStart w:id="880" w:name="_Toc195842924"/>
      <w:r>
        <w:rPr>
          <w:color w:val="000000"/>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337258"/>
      <w:r/>
      <w:bookmarkStart w:id="882" w:name="_Toc226309806"/>
      <w:r/>
      <w:bookmarkStart w:id="883" w:name="_Toc150774765"/>
      <w:r/>
      <w:bookmarkStart w:id="884" w:name="_Toc127151562"/>
      <w:r/>
      <w:bookmarkStart w:id="885" w:name="_Toc264969252"/>
      <w:r/>
      <w:bookmarkStart w:id="886" w:name="_Toc226965835"/>
      <w:r/>
      <w:bookmarkStart w:id="887" w:name="_Toc150480798"/>
      <w:r/>
      <w:bookmarkStart w:id="888" w:name="_Toc265228400"/>
      <w:r/>
      <w:bookmarkStart w:id="889" w:name="_Toc305158830"/>
      <w:r/>
      <w:bookmarkStart w:id="890" w:name="_Toc226965752"/>
      <w:r/>
      <w:bookmarkStart w:id="891" w:name="_Toc195842927"/>
      <w:r/>
      <w:bookmarkStart w:id="892" w:name="_Toc305158904"/>
      <w:r/>
      <w:bookmarkStart w:id="893" w:name="_Toc142311062"/>
      <w:r/>
      <w:bookmarkStart w:id="894" w:name="_Toc195842926"/>
      <w:r/>
      <w:bookmarkStart w:id="895" w:name="_Toc265228399"/>
      <w:r/>
      <w:bookmarkStart w:id="896" w:name="_Toc305158903"/>
      <w:r/>
      <w:bookmarkStart w:id="897" w:name="_Toc305158829"/>
      <w:r/>
      <w:bookmarkStart w:id="898" w:name="_Toc226965834"/>
      <w:r/>
      <w:bookmarkStart w:id="899" w:name="_Toc264969251"/>
      <w:r/>
      <w:bookmarkStart w:id="900" w:name="_Toc150480797"/>
      <w:r/>
      <w:bookmarkStart w:id="901" w:name="_Toc127151561"/>
      <w:r/>
      <w:bookmarkStart w:id="902" w:name="_Toc226309805"/>
      <w:r/>
      <w:bookmarkStart w:id="903" w:name="_Toc150774764"/>
      <w:r/>
      <w:bookmarkStart w:id="904" w:name="_Toc226337257"/>
      <w:r/>
      <w:bookmarkStart w:id="905" w:name="_Toc226965751"/>
      <w:r/>
      <w:bookmarkStart w:id="906" w:name="_Toc142311061"/>
      <w:r>
        <w:rPr>
          <w:rFonts w:hint="eastAsia"/>
          <w:color w:val="000000"/>
          <w:sz w:val="24"/>
          <w:szCs w:val="20"/>
          <w:highlight w:val="none"/>
          <w:lang w:val="en-US" w:eastAsia="zh-CN"/>
        </w:rPr>
        <w:t xml:space="preserve">5</w:t>
      </w:r>
      <w:r>
        <w:rPr>
          <w:color w:val="000000"/>
          <w:sz w:val="24"/>
          <w:szCs w:val="20"/>
          <w:highlight w:val="none"/>
        </w:rPr>
        <w:t xml:space="preserve">  分项报价表</w:t>
      </w:r>
      <w:r>
        <w:rPr>
          <w:rFonts w:hint="eastAsia"/>
          <w:color w:val="000000"/>
          <w:sz w:val="24"/>
          <w:szCs w:val="20"/>
          <w:highlight w:val="none"/>
          <w:lang w:val="en-US" w:eastAsia="zh-CN"/>
        </w:rPr>
        <w:t xml:space="preserve"> </w:t>
      </w:r>
      <w:r>
        <w:rPr>
          <w:rFonts w:hint="eastAsia" w:eastAsia="宋体"/>
          <w:color w:val="000000"/>
          <w:sz w:val="24"/>
          <w:szCs w:val="20"/>
          <w:highlight w:val="none"/>
          <w:lang w:val="en-US" w:eastAsia="zh-CN"/>
        </w:rPr>
      </w:r>
      <w:r/>
    </w:p>
    <w:p>
      <w:pPr>
        <w:pStyle w:val="1107"/>
        <w:jc w:val="center"/>
        <w:spacing w:line="360" w:lineRule="exact"/>
        <w:rPr>
          <w:color w:val="000000"/>
          <w:sz w:val="36"/>
          <w:szCs w:val="36"/>
          <w:highlight w:val="none"/>
        </w:rPr>
        <w:outlineLvl w:val="9"/>
      </w:pPr>
      <w:r>
        <w:rPr>
          <w:color w:val="000000"/>
          <w:sz w:val="36"/>
          <w:szCs w:val="36"/>
          <w:highlight w:val="none"/>
        </w:rPr>
      </w:r>
      <w:r/>
    </w:p>
    <w:p>
      <w:pPr>
        <w:pStyle w:val="1107"/>
        <w:jc w:val="center"/>
        <w:spacing w:line="360" w:lineRule="exact"/>
        <w:rPr>
          <w:b/>
          <w:color w:val="000000"/>
          <w:sz w:val="36"/>
          <w:szCs w:val="36"/>
          <w:highlight w:val="none"/>
        </w:rPr>
        <w:outlineLvl w:val="9"/>
      </w:pPr>
      <w:r>
        <w:rPr>
          <w:rFonts w:hint="eastAsia"/>
          <w:b/>
          <w:color w:val="000000"/>
          <w:sz w:val="36"/>
          <w:szCs w:val="36"/>
          <w:highlight w:val="none"/>
        </w:rPr>
        <w:t xml:space="preserve">分项报价表</w:t>
      </w:r>
      <w:r>
        <w:rPr>
          <w:b/>
          <w:color w:val="000000"/>
          <w:sz w:val="36"/>
          <w:szCs w:val="36"/>
          <w:highlight w:val="none"/>
        </w:rPr>
      </w:r>
      <w:r/>
    </w:p>
    <w:p>
      <w:pPr>
        <w:pStyle w:val="1107"/>
        <w:jc w:val="center"/>
        <w:spacing w:line="260" w:lineRule="exact"/>
        <w:rPr>
          <w:color w:val="000000"/>
          <w:sz w:val="36"/>
          <w:szCs w:val="36"/>
          <w:highlight w:val="none"/>
        </w:rPr>
        <w:outlineLvl w:val="9"/>
      </w:pPr>
      <w:r>
        <w:rPr>
          <w:color w:val="000000"/>
          <w:sz w:val="36"/>
          <w:szCs w:val="36"/>
          <w:highlight w:val="none"/>
        </w:rPr>
      </w:r>
      <w:r/>
    </w:p>
    <w:p>
      <w:pPr>
        <w:pStyle w:val="1107"/>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369"/>
        <w:gridCol w:w="2338"/>
        <w:gridCol w:w="1042"/>
        <w:gridCol w:w="992"/>
        <w:gridCol w:w="919"/>
        <w:gridCol w:w="1072"/>
      </w:tblGrid>
      <w:tr>
        <w:trPr>
          <w:cantSplit/>
          <w:trHeight w:val="285"/>
        </w:trPr>
        <w:tc>
          <w:tcPr>
            <w:tcW w:w="918" w:type="dxa"/>
            <w:vAlign w:val="center"/>
            <w:vMerge w:val="restart"/>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369" w:type="dxa"/>
            <w:vAlign w:val="center"/>
            <w:vMerge w:val="restart"/>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338" w:type="dxa"/>
            <w:vAlign w:val="center"/>
            <w:vMerge w:val="restart"/>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lang w:val="en-US" w:eastAsia="zh-CN"/>
              </w:rPr>
              <w:t xml:space="preserve">投标</w:t>
            </w:r>
            <w:r>
              <w:rPr>
                <w:rFonts w:hint="eastAsia" w:ascii="宋体" w:hAnsi="宋体" w:cs="Arial"/>
                <w:color w:val="000000"/>
                <w:sz w:val="24"/>
                <w:highlight w:val="none"/>
              </w:rPr>
              <w:t xml:space="preserve">价格</w:t>
            </w:r>
            <w:r>
              <w:rPr>
                <w:rFonts w:ascii="宋体" w:hAnsi="宋体" w:cs="Arial"/>
                <w:color w:val="000000"/>
                <w:sz w:val="24"/>
                <w:highlight w:val="none"/>
              </w:rPr>
            </w:r>
            <w:r/>
          </w:p>
        </w:tc>
      </w:tr>
      <w:tr>
        <w:trPr>
          <w:cantSplit/>
          <w:trHeight w:val="285"/>
        </w:trPr>
        <w:tc>
          <w:tcPr>
            <w:tcW w:w="918" w:type="dxa"/>
            <w:vAlign w:val="center"/>
            <w:vMerge w:val="continue"/>
            <w:textDirection w:val="lrTb"/>
            <w:noWrap w:val="false"/>
          </w:tcPr>
          <w:p>
            <w:pPr>
              <w:pStyle w:val="1107"/>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69" w:type="dxa"/>
            <w:vAlign w:val="center"/>
            <w:vMerge w:val="continue"/>
            <w:textDirection w:val="lrTb"/>
            <w:noWrap w:val="false"/>
          </w:tcPr>
          <w:p>
            <w:pPr>
              <w:pStyle w:val="1107"/>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2338" w:type="dxa"/>
            <w:vAlign w:val="center"/>
            <w:vMerge w:val="continue"/>
            <w:textDirection w:val="lrTb"/>
            <w:noWrap w:val="false"/>
          </w:tcPr>
          <w:p>
            <w:pPr>
              <w:pStyle w:val="1107"/>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vMerge w:val="continue"/>
            <w:textDirection w:val="lrTb"/>
            <w:noWrap w:val="false"/>
          </w:tcPr>
          <w:p>
            <w:pPr>
              <w:pStyle w:val="1107"/>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vMerge w:val="continue"/>
            <w:textDirection w:val="lrTb"/>
            <w:noWrap w:val="false"/>
          </w:tcPr>
          <w:p>
            <w:pPr>
              <w:pStyle w:val="1107"/>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369" w:type="dxa"/>
            <w:vAlign w:val="center"/>
            <w:textDirection w:val="lrTb"/>
            <w:noWrap w:val="false"/>
          </w:tcPr>
          <w:p>
            <w:pPr>
              <w:pStyle w:val="1107"/>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107"/>
              <w:jc w:val="center"/>
              <w:spacing w:line="360" w:lineRule="auto"/>
              <w:widowControl/>
              <w:rPr>
                <w:rFonts w:ascii="宋体" w:hAnsi="宋体" w:eastAsia="宋体" w:cs="Arial"/>
                <w:color w:val="000000"/>
                <w:sz w:val="24"/>
                <w:highlight w:val="none"/>
                <w:lang w:val="en-US" w:eastAsia="zh-CN"/>
              </w:rPr>
              <w:outlineLvl w:val="9"/>
            </w:pPr>
            <w:r>
              <w:rPr>
                <w:rFonts w:hint="eastAsia" w:ascii="宋体" w:hAnsi="宋体" w:cs="Arial"/>
                <w:color w:val="000000"/>
                <w:sz w:val="24"/>
                <w:highlight w:val="none"/>
                <w:lang w:val="en-US" w:eastAsia="zh-CN"/>
              </w:rPr>
              <w:t xml:space="preserve">合计</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元</w:t>
            </w:r>
            <w:r>
              <w:rPr>
                <w:rFonts w:hint="eastAsia" w:ascii="宋体" w:hAnsi="宋体" w:cs="Arial"/>
                <w:color w:val="000000"/>
                <w:sz w:val="24"/>
                <w:highlight w:val="none"/>
                <w:lang w:eastAsia="zh-CN"/>
              </w:rPr>
              <w:t xml:space="preserve">）</w:t>
            </w:r>
            <w:r>
              <w:rPr>
                <w:rFonts w:ascii="宋体" w:hAnsi="宋体" w:eastAsia="宋体" w:cs="Arial"/>
                <w:color w:val="000000"/>
                <w:sz w:val="24"/>
                <w:highlight w:val="none"/>
                <w:lang w:val="en-US" w:eastAsia="zh-CN"/>
              </w:rPr>
            </w:r>
            <w:r/>
          </w:p>
        </w:tc>
        <w:tc>
          <w:tcPr>
            <w:gridSpan w:val="4"/>
            <w:tcW w:w="4025" w:type="dxa"/>
            <w:vAlign w:val="center"/>
            <w:textDirection w:val="lrTb"/>
            <w:noWrap w:val="false"/>
          </w:tcPr>
          <w:p>
            <w:pPr>
              <w:pStyle w:val="1107"/>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1107"/>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107"/>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107"/>
        <w:jc w:val="left"/>
        <w:tabs>
          <w:tab w:val="left" w:pos="1800" w:leader="none"/>
          <w:tab w:val="left" w:pos="5580" w:leader="none"/>
        </w:tabs>
        <w:rPr>
          <w:color w:val="000000"/>
          <w:sz w:val="24"/>
          <w:highlight w:val="none"/>
        </w:rPr>
        <w:outlineLvl w:val="9"/>
      </w:pPr>
      <w:r>
        <w:rPr>
          <w:color w:val="000000"/>
          <w:sz w:val="24"/>
          <w:highlight w:val="none"/>
        </w:rPr>
        <w:t xml:space="preserve">注：1.如果不提供分项报价将视为没有实质性响应招标文件。</w:t>
      </w:r>
      <w:r>
        <w:rPr>
          <w:color w:val="000000"/>
          <w:sz w:val="24"/>
          <w:highlight w:val="none"/>
        </w:rPr>
      </w:r>
      <w:r/>
    </w:p>
    <w:p>
      <w:pPr>
        <w:pStyle w:val="1107"/>
        <w:ind w:firstLine="480"/>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本表行数可以按照项目分项情况增加。</w:t>
      </w:r>
      <w:r>
        <w:rPr>
          <w:color w:val="000000"/>
          <w:sz w:val="24"/>
          <w:highlight w:val="none"/>
        </w:rPr>
      </w:r>
      <w:r/>
    </w:p>
    <w:p>
      <w:pPr>
        <w:pStyle w:val="1107"/>
        <w:ind w:firstLine="480"/>
        <w:jc w:val="left"/>
        <w:tabs>
          <w:tab w:val="left" w:pos="1800" w:leader="none"/>
          <w:tab w:val="left" w:pos="5580" w:leader="none"/>
        </w:tabs>
        <w:rPr>
          <w:color w:val="000000"/>
          <w:sz w:val="24"/>
          <w:highlight w:val="none"/>
        </w:rPr>
        <w:outlineLvl w:val="9"/>
      </w:pPr>
      <w:r>
        <w:rPr>
          <w:color w:val="000000"/>
          <w:sz w:val="24"/>
          <w:highlight w:val="none"/>
        </w:rPr>
        <w:t xml:space="preserve">3.上述各项的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107"/>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107"/>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7"/>
        <w:jc w:val="left"/>
        <w:tabs>
          <w:tab w:val="left" w:pos="1800" w:leader="none"/>
          <w:tab w:val="left" w:pos="5580" w:leader="none"/>
        </w:tabs>
        <w:rPr>
          <w:rFonts w:hint="eastAsia" w:ascii="Times New Roman" w:hAnsi="Times New Roman" w:eastAsia="宋体" w:cs="Times New Roman"/>
          <w:color w:val="000000"/>
          <w:sz w:val="24"/>
          <w:highlight w:val="none"/>
          <w:lang w:val="en-US" w:eastAsia="zh-CN"/>
        </w:rPr>
        <w:outlineLvl w:val="9"/>
      </w:pPr>
      <w:r>
        <w:rPr>
          <w:color w:val="000000"/>
          <w:sz w:val="24"/>
          <w:szCs w:val="20"/>
          <w:highlight w:val="none"/>
        </w:rPr>
        <w:t xml:space="preserve">日期：_____年______月______日</w:t>
      </w:r>
      <w:r>
        <w:rPr>
          <w:rFonts w:hint="eastAsia"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color w:val="000000"/>
          <w:sz w:val="24"/>
          <w:highlight w:val="none"/>
          <w:lang w:val="en-US" w:eastAsia="zh-CN"/>
        </w:rPr>
      </w:r>
      <w:r/>
    </w:p>
    <w:p>
      <w:pPr>
        <w:pStyle w:val="1107"/>
        <w:spacing w:before="25" w:after="25" w:line="360" w:lineRule="auto"/>
        <w:rPr>
          <w:rFonts w:hint="eastAsia"/>
          <w:color w:val="000000"/>
          <w:sz w:val="24"/>
          <w:highlight w:val="none"/>
          <w:lang w:val="en-US" w:eastAsia="zh-CN"/>
        </w:rPr>
        <w:outlineLvl w:val="9"/>
      </w:pPr>
      <w:r>
        <w:rPr>
          <w:rFonts w:hint="eastAsia"/>
          <w:color w:val="000000"/>
          <w:sz w:val="24"/>
          <w:highlight w:val="none"/>
          <w:lang w:val="en-US" w:eastAsia="zh-CN"/>
        </w:rPr>
      </w:r>
      <w:r/>
    </w:p>
    <w:p>
      <w:pPr>
        <w:pStyle w:val="1107"/>
        <w:spacing w:before="25" w:after="25" w:line="360" w:lineRule="auto"/>
        <w:rPr>
          <w:rFonts w:hint="eastAsia"/>
          <w:color w:val="000000"/>
          <w:sz w:val="24"/>
          <w:highlight w:val="none"/>
          <w:lang w:val="en-US" w:eastAsia="zh-CN"/>
        </w:rPr>
        <w:outlineLvl w:val="9"/>
      </w:pPr>
      <w:r>
        <w:rPr>
          <w:rFonts w:hint="eastAsia"/>
          <w:color w:val="000000"/>
          <w:sz w:val="24"/>
          <w:highlight w:val="none"/>
          <w:lang w:val="en-US" w:eastAsia="zh-CN"/>
        </w:rPr>
      </w:r>
      <w:r/>
    </w:p>
    <w:p>
      <w:pPr>
        <w:pStyle w:val="1107"/>
        <w:spacing w:before="25" w:after="25"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color w:val="000000"/>
          <w:sz w:val="24"/>
          <w:szCs w:val="20"/>
          <w:highlight w:val="none"/>
        </w:rPr>
        <w:t xml:space="preserve"> </w:t>
      </w: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07"/>
        <w:spacing w:line="360" w:lineRule="auto"/>
        <w:rPr>
          <w:color w:val="000000"/>
          <w:sz w:val="24"/>
          <w:szCs w:val="20"/>
          <w:highlight w:val="none"/>
        </w:rPr>
      </w:pPr>
      <w:r>
        <w:rPr>
          <w:color w:val="000000"/>
          <w:sz w:val="24"/>
          <w:szCs w:val="20"/>
          <w:highlight w:val="none"/>
        </w:rPr>
      </w:r>
      <w:r/>
    </w:p>
    <w:p>
      <w:pPr>
        <w:pStyle w:val="1107"/>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0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110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0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1107"/>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10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10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107"/>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1107"/>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110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1107"/>
              <w:jc w:val="center"/>
              <w:rPr>
                <w:color w:val="000000"/>
                <w:sz w:val="24"/>
                <w:highlight w:val="none"/>
              </w:rPr>
            </w:pPr>
            <w:r>
              <w:rPr>
                <w:color w:val="000000"/>
                <w:sz w:val="24"/>
                <w:highlight w:val="none"/>
              </w:rPr>
            </w:r>
            <w:r/>
          </w:p>
        </w:tc>
        <w:tc>
          <w:tcPr>
            <w:tcW w:w="1290" w:type="dxa"/>
            <w:vAlign w:val="center"/>
            <w:textDirection w:val="lrTb"/>
            <w:noWrap w:val="false"/>
          </w:tcPr>
          <w:p>
            <w:pPr>
              <w:pStyle w:val="1107"/>
              <w:jc w:val="center"/>
              <w:rPr>
                <w:color w:val="000000"/>
                <w:sz w:val="24"/>
                <w:highlight w:val="none"/>
              </w:rPr>
            </w:pPr>
            <w:r>
              <w:rPr>
                <w:color w:val="000000"/>
                <w:sz w:val="24"/>
                <w:highlight w:val="none"/>
              </w:rPr>
            </w:r>
            <w:r/>
          </w:p>
        </w:tc>
        <w:tc>
          <w:tcPr>
            <w:tcW w:w="1980" w:type="dxa"/>
            <w:vAlign w:val="center"/>
            <w:textDirection w:val="lrTb"/>
            <w:noWrap w:val="false"/>
          </w:tcPr>
          <w:p>
            <w:pPr>
              <w:pStyle w:val="1107"/>
              <w:jc w:val="center"/>
              <w:rPr>
                <w:color w:val="000000"/>
                <w:sz w:val="24"/>
                <w:highlight w:val="none"/>
              </w:rPr>
            </w:pPr>
            <w:r>
              <w:rPr>
                <w:color w:val="000000"/>
                <w:sz w:val="24"/>
                <w:highlight w:val="none"/>
              </w:rPr>
            </w:r>
            <w:r/>
          </w:p>
        </w:tc>
        <w:tc>
          <w:tcPr>
            <w:tcW w:w="1981" w:type="dxa"/>
            <w:vAlign w:val="center"/>
            <w:textDirection w:val="lrTb"/>
            <w:noWrap w:val="false"/>
          </w:tcPr>
          <w:p>
            <w:pPr>
              <w:pStyle w:val="1107"/>
              <w:jc w:val="center"/>
              <w:rPr>
                <w:color w:val="000000"/>
                <w:sz w:val="24"/>
                <w:highlight w:val="none"/>
              </w:rPr>
            </w:pPr>
            <w:r>
              <w:rPr>
                <w:color w:val="000000"/>
                <w:sz w:val="24"/>
                <w:highlight w:val="none"/>
              </w:rPr>
            </w:r>
            <w:r/>
          </w:p>
        </w:tc>
        <w:tc>
          <w:tcPr>
            <w:tcW w:w="2423" w:type="dxa"/>
            <w:vAlign w:val="center"/>
            <w:textDirection w:val="lrTb"/>
            <w:noWrap w:val="false"/>
          </w:tcPr>
          <w:p>
            <w:pPr>
              <w:pStyle w:val="1107"/>
              <w:jc w:val="center"/>
              <w:rPr>
                <w:color w:val="000000"/>
                <w:sz w:val="24"/>
                <w:highlight w:val="none"/>
              </w:rPr>
            </w:pPr>
            <w:r>
              <w:rPr>
                <w:color w:val="000000"/>
                <w:sz w:val="24"/>
                <w:highlight w:val="none"/>
              </w:rPr>
            </w:r>
            <w:r/>
          </w:p>
        </w:tc>
        <w:tc>
          <w:tcPr>
            <w:tcW w:w="782"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07"/>
              <w:jc w:val="center"/>
              <w:rPr>
                <w:color w:val="000000"/>
                <w:sz w:val="24"/>
                <w:highlight w:val="none"/>
              </w:rPr>
            </w:pPr>
            <w:r>
              <w:rPr>
                <w:color w:val="000000"/>
                <w:sz w:val="24"/>
                <w:highlight w:val="none"/>
              </w:rPr>
            </w:r>
            <w:r/>
          </w:p>
        </w:tc>
        <w:tc>
          <w:tcPr>
            <w:tcW w:w="1290" w:type="dxa"/>
            <w:vAlign w:val="center"/>
            <w:textDirection w:val="lrTb"/>
            <w:noWrap w:val="false"/>
          </w:tcPr>
          <w:p>
            <w:pPr>
              <w:pStyle w:val="1107"/>
              <w:jc w:val="center"/>
              <w:rPr>
                <w:color w:val="000000"/>
                <w:sz w:val="24"/>
                <w:highlight w:val="none"/>
              </w:rPr>
            </w:pPr>
            <w:r>
              <w:rPr>
                <w:color w:val="000000"/>
                <w:sz w:val="24"/>
                <w:highlight w:val="none"/>
              </w:rPr>
            </w:r>
            <w:r/>
          </w:p>
        </w:tc>
        <w:tc>
          <w:tcPr>
            <w:tcW w:w="1980" w:type="dxa"/>
            <w:vAlign w:val="center"/>
            <w:textDirection w:val="lrTb"/>
            <w:noWrap w:val="false"/>
          </w:tcPr>
          <w:p>
            <w:pPr>
              <w:pStyle w:val="1107"/>
              <w:jc w:val="center"/>
              <w:rPr>
                <w:color w:val="000000"/>
                <w:sz w:val="24"/>
                <w:highlight w:val="none"/>
              </w:rPr>
            </w:pPr>
            <w:r>
              <w:rPr>
                <w:color w:val="000000"/>
                <w:sz w:val="24"/>
                <w:highlight w:val="none"/>
              </w:rPr>
            </w:r>
            <w:r/>
          </w:p>
        </w:tc>
        <w:tc>
          <w:tcPr>
            <w:tcW w:w="1981" w:type="dxa"/>
            <w:vAlign w:val="center"/>
            <w:textDirection w:val="lrTb"/>
            <w:noWrap w:val="false"/>
          </w:tcPr>
          <w:p>
            <w:pPr>
              <w:pStyle w:val="1107"/>
              <w:jc w:val="center"/>
              <w:rPr>
                <w:color w:val="000000"/>
                <w:sz w:val="24"/>
                <w:highlight w:val="none"/>
              </w:rPr>
            </w:pPr>
            <w:r>
              <w:rPr>
                <w:color w:val="000000"/>
                <w:sz w:val="24"/>
                <w:highlight w:val="none"/>
              </w:rPr>
            </w:r>
            <w:r/>
          </w:p>
        </w:tc>
        <w:tc>
          <w:tcPr>
            <w:tcW w:w="2423" w:type="dxa"/>
            <w:vAlign w:val="center"/>
            <w:textDirection w:val="lrTb"/>
            <w:noWrap w:val="false"/>
          </w:tcPr>
          <w:p>
            <w:pPr>
              <w:pStyle w:val="1107"/>
              <w:jc w:val="center"/>
              <w:rPr>
                <w:color w:val="000000"/>
                <w:sz w:val="24"/>
                <w:highlight w:val="none"/>
              </w:rPr>
            </w:pPr>
            <w:r>
              <w:rPr>
                <w:color w:val="000000"/>
                <w:sz w:val="24"/>
                <w:highlight w:val="none"/>
              </w:rPr>
            </w:r>
            <w:r/>
          </w:p>
        </w:tc>
        <w:tc>
          <w:tcPr>
            <w:tcW w:w="782"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07"/>
              <w:jc w:val="center"/>
              <w:rPr>
                <w:color w:val="000000"/>
                <w:sz w:val="24"/>
                <w:highlight w:val="none"/>
              </w:rPr>
            </w:pPr>
            <w:r>
              <w:rPr>
                <w:color w:val="000000"/>
                <w:sz w:val="24"/>
                <w:highlight w:val="none"/>
              </w:rPr>
            </w:r>
            <w:r/>
          </w:p>
        </w:tc>
        <w:tc>
          <w:tcPr>
            <w:tcW w:w="1290" w:type="dxa"/>
            <w:vAlign w:val="center"/>
            <w:textDirection w:val="lrTb"/>
            <w:noWrap w:val="false"/>
          </w:tcPr>
          <w:p>
            <w:pPr>
              <w:pStyle w:val="1107"/>
              <w:jc w:val="center"/>
              <w:rPr>
                <w:color w:val="000000"/>
                <w:sz w:val="24"/>
                <w:highlight w:val="none"/>
              </w:rPr>
            </w:pPr>
            <w:r>
              <w:rPr>
                <w:color w:val="000000"/>
                <w:sz w:val="24"/>
                <w:highlight w:val="none"/>
              </w:rPr>
            </w:r>
            <w:r/>
          </w:p>
        </w:tc>
        <w:tc>
          <w:tcPr>
            <w:tcW w:w="1980" w:type="dxa"/>
            <w:vAlign w:val="center"/>
            <w:textDirection w:val="lrTb"/>
            <w:noWrap w:val="false"/>
          </w:tcPr>
          <w:p>
            <w:pPr>
              <w:pStyle w:val="1107"/>
              <w:jc w:val="center"/>
              <w:rPr>
                <w:color w:val="000000"/>
                <w:sz w:val="24"/>
                <w:highlight w:val="none"/>
              </w:rPr>
            </w:pPr>
            <w:r>
              <w:rPr>
                <w:color w:val="000000"/>
                <w:sz w:val="24"/>
                <w:highlight w:val="none"/>
              </w:rPr>
            </w:r>
            <w:r/>
          </w:p>
        </w:tc>
        <w:tc>
          <w:tcPr>
            <w:tcW w:w="1981" w:type="dxa"/>
            <w:vAlign w:val="center"/>
            <w:textDirection w:val="lrTb"/>
            <w:noWrap w:val="false"/>
          </w:tcPr>
          <w:p>
            <w:pPr>
              <w:pStyle w:val="1107"/>
              <w:jc w:val="center"/>
              <w:rPr>
                <w:color w:val="000000"/>
                <w:sz w:val="24"/>
                <w:highlight w:val="none"/>
              </w:rPr>
            </w:pPr>
            <w:r>
              <w:rPr>
                <w:color w:val="000000"/>
                <w:sz w:val="24"/>
                <w:highlight w:val="none"/>
              </w:rPr>
            </w:r>
            <w:r/>
          </w:p>
        </w:tc>
        <w:tc>
          <w:tcPr>
            <w:tcW w:w="2423" w:type="dxa"/>
            <w:vAlign w:val="center"/>
            <w:textDirection w:val="lrTb"/>
            <w:noWrap w:val="false"/>
          </w:tcPr>
          <w:p>
            <w:pPr>
              <w:pStyle w:val="1107"/>
              <w:jc w:val="center"/>
              <w:rPr>
                <w:color w:val="000000"/>
                <w:sz w:val="24"/>
                <w:highlight w:val="none"/>
              </w:rPr>
            </w:pPr>
            <w:r>
              <w:rPr>
                <w:color w:val="000000"/>
                <w:sz w:val="24"/>
                <w:highlight w:val="none"/>
              </w:rPr>
            </w:r>
            <w:r/>
          </w:p>
        </w:tc>
        <w:tc>
          <w:tcPr>
            <w:tcW w:w="782"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07"/>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1107"/>
              <w:jc w:val="center"/>
              <w:rPr>
                <w:color w:val="000000"/>
                <w:sz w:val="24"/>
                <w:highlight w:val="none"/>
              </w:rPr>
            </w:pPr>
            <w:r>
              <w:rPr>
                <w:color w:val="000000"/>
                <w:sz w:val="24"/>
                <w:highlight w:val="none"/>
              </w:rPr>
            </w:r>
            <w:r/>
          </w:p>
        </w:tc>
        <w:tc>
          <w:tcPr>
            <w:tcW w:w="1980" w:type="dxa"/>
            <w:vAlign w:val="center"/>
            <w:textDirection w:val="lrTb"/>
            <w:noWrap w:val="false"/>
          </w:tcPr>
          <w:p>
            <w:pPr>
              <w:pStyle w:val="1107"/>
              <w:jc w:val="center"/>
              <w:rPr>
                <w:color w:val="000000"/>
                <w:sz w:val="24"/>
                <w:highlight w:val="none"/>
              </w:rPr>
            </w:pPr>
            <w:r>
              <w:rPr>
                <w:color w:val="000000"/>
                <w:sz w:val="24"/>
                <w:highlight w:val="none"/>
              </w:rPr>
            </w:r>
            <w:r/>
          </w:p>
        </w:tc>
        <w:tc>
          <w:tcPr>
            <w:tcW w:w="1981" w:type="dxa"/>
            <w:vAlign w:val="center"/>
            <w:textDirection w:val="lrTb"/>
            <w:noWrap w:val="false"/>
          </w:tcPr>
          <w:p>
            <w:pPr>
              <w:pStyle w:val="1107"/>
              <w:jc w:val="center"/>
              <w:rPr>
                <w:color w:val="000000"/>
                <w:sz w:val="24"/>
                <w:highlight w:val="none"/>
              </w:rPr>
            </w:pPr>
            <w:r>
              <w:rPr>
                <w:color w:val="000000"/>
                <w:sz w:val="24"/>
                <w:highlight w:val="none"/>
              </w:rPr>
            </w:r>
            <w:r/>
          </w:p>
        </w:tc>
        <w:tc>
          <w:tcPr>
            <w:tcW w:w="2423" w:type="dxa"/>
            <w:vAlign w:val="center"/>
            <w:textDirection w:val="lrTb"/>
            <w:noWrap w:val="false"/>
          </w:tcPr>
          <w:p>
            <w:pPr>
              <w:pStyle w:val="1107"/>
              <w:jc w:val="center"/>
              <w:rPr>
                <w:color w:val="000000"/>
                <w:sz w:val="24"/>
                <w:highlight w:val="none"/>
              </w:rPr>
            </w:pPr>
            <w:r>
              <w:rPr>
                <w:color w:val="000000"/>
                <w:sz w:val="24"/>
                <w:highlight w:val="none"/>
              </w:rPr>
            </w:r>
            <w:r/>
          </w:p>
        </w:tc>
        <w:tc>
          <w:tcPr>
            <w:tcW w:w="782" w:type="dxa"/>
            <w:vAlign w:val="center"/>
            <w:textDirection w:val="lrTb"/>
            <w:noWrap w:val="false"/>
          </w:tcPr>
          <w:p>
            <w:pPr>
              <w:pStyle w:val="1107"/>
              <w:jc w:val="center"/>
              <w:rPr>
                <w:color w:val="000000"/>
                <w:sz w:val="24"/>
                <w:highlight w:val="none"/>
              </w:rPr>
            </w:pPr>
            <w:r>
              <w:rPr>
                <w:color w:val="000000"/>
                <w:sz w:val="24"/>
                <w:highlight w:val="none"/>
              </w:rPr>
            </w:r>
            <w:r/>
          </w:p>
        </w:tc>
      </w:tr>
    </w:tbl>
    <w:p>
      <w:pPr>
        <w:pStyle w:val="1107"/>
        <w:jc w:val="left"/>
        <w:tabs>
          <w:tab w:val="left" w:pos="1800" w:leader="none"/>
          <w:tab w:val="left" w:pos="5580" w:leader="none"/>
        </w:tabs>
        <w:rPr>
          <w:color w:val="000000"/>
          <w:sz w:val="24"/>
          <w:highlight w:val="none"/>
        </w:rPr>
      </w:pPr>
      <w:r>
        <w:rPr>
          <w:color w:val="000000"/>
          <w:sz w:val="24"/>
          <w:highlight w:val="none"/>
        </w:rPr>
      </w:r>
      <w:r/>
    </w:p>
    <w:p>
      <w:pPr>
        <w:pStyle w:val="110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0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w:t>
      </w:r>
      <w:r>
        <w:rPr>
          <w:rFonts w:hint="eastAsia"/>
          <w:color w:val="000000"/>
          <w:sz w:val="24"/>
          <w:highlight w:val="none"/>
          <w:lang w:val="en-US" w:eastAsia="zh-CN"/>
        </w:rPr>
        <w:t xml:space="preserve">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107"/>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spacing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w:t>
      </w:r>
      <w:r>
        <w:rPr>
          <w:rFonts w:hint="eastAsia"/>
          <w:color w:val="000000"/>
          <w:sz w:val="24"/>
          <w:szCs w:val="20"/>
          <w:highlight w:val="none"/>
        </w:rPr>
        <w:t xml:space="preserve"> </w:t>
      </w:r>
      <w:r>
        <w:rPr>
          <w:color w:val="000000"/>
          <w:sz w:val="24"/>
          <w:szCs w:val="20"/>
          <w:highlight w:val="none"/>
        </w:rPr>
      </w:r>
      <w:r/>
    </w:p>
    <w:p>
      <w:pPr>
        <w:pStyle w:val="1107"/>
        <w:jc w:val="center"/>
        <w:spacing w:line="360" w:lineRule="auto"/>
        <w:rPr>
          <w:b/>
          <w:color w:val="000000"/>
          <w:sz w:val="36"/>
          <w:szCs w:val="36"/>
          <w:highlight w:val="none"/>
        </w:rPr>
      </w:pPr>
      <w:r>
        <w:rPr>
          <w:b/>
          <w:color w:val="000000"/>
          <w:sz w:val="36"/>
          <w:szCs w:val="36"/>
          <w:highlight w:val="none"/>
        </w:rPr>
      </w:r>
      <w:r/>
    </w:p>
    <w:p>
      <w:pPr>
        <w:pStyle w:val="1107"/>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0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7"/>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107"/>
              <w:jc w:val="center"/>
              <w:rPr>
                <w:color w:val="000000"/>
                <w:sz w:val="24"/>
                <w:highlight w:val="none"/>
              </w:rPr>
            </w:pPr>
            <w:r>
              <w:rPr>
                <w:color w:val="000000"/>
                <w:sz w:val="24"/>
                <w:highlight w:val="none"/>
              </w:rPr>
            </w:r>
            <w:r/>
          </w:p>
        </w:tc>
        <w:tc>
          <w:tcPr>
            <w:tcW w:w="2384" w:type="dxa"/>
            <w:vAlign w:val="center"/>
            <w:textDirection w:val="lrTb"/>
            <w:noWrap w:val="false"/>
          </w:tcPr>
          <w:p>
            <w:pPr>
              <w:pStyle w:val="1107"/>
              <w:jc w:val="center"/>
              <w:rPr>
                <w:color w:val="000000"/>
                <w:sz w:val="24"/>
                <w:highlight w:val="none"/>
              </w:rPr>
            </w:pPr>
            <w:r>
              <w:rPr>
                <w:color w:val="000000"/>
                <w:sz w:val="24"/>
                <w:highlight w:val="none"/>
              </w:rPr>
            </w:r>
            <w:r/>
          </w:p>
        </w:tc>
        <w:tc>
          <w:tcPr>
            <w:tcW w:w="2126" w:type="dxa"/>
            <w:vAlign w:val="center"/>
            <w:textDirection w:val="lrTb"/>
            <w:noWrap w:val="false"/>
          </w:tcPr>
          <w:p>
            <w:pPr>
              <w:pStyle w:val="1107"/>
              <w:jc w:val="center"/>
              <w:rPr>
                <w:color w:val="000000"/>
                <w:sz w:val="24"/>
                <w:highlight w:val="none"/>
              </w:rPr>
            </w:pPr>
            <w:r>
              <w:rPr>
                <w:color w:val="000000"/>
                <w:sz w:val="24"/>
                <w:highlight w:val="none"/>
              </w:rPr>
            </w:r>
            <w:r/>
          </w:p>
        </w:tc>
        <w:tc>
          <w:tcPr>
            <w:tcW w:w="1875" w:type="dxa"/>
            <w:vAlign w:val="center"/>
            <w:textDirection w:val="lrTb"/>
            <w:noWrap w:val="false"/>
          </w:tcPr>
          <w:p>
            <w:pPr>
              <w:pStyle w:val="1107"/>
              <w:jc w:val="center"/>
              <w:rPr>
                <w:color w:val="000000"/>
                <w:sz w:val="24"/>
                <w:highlight w:val="none"/>
              </w:rPr>
            </w:pPr>
            <w:r>
              <w:rPr>
                <w:color w:val="000000"/>
                <w:sz w:val="24"/>
                <w:highlight w:val="none"/>
              </w:rPr>
            </w:r>
            <w:r/>
          </w:p>
        </w:tc>
        <w:tc>
          <w:tcPr>
            <w:tcW w:w="1009" w:type="dxa"/>
            <w:vAlign w:val="center"/>
            <w:textDirection w:val="lrTb"/>
            <w:noWrap w:val="false"/>
          </w:tcPr>
          <w:p>
            <w:pPr>
              <w:pStyle w:val="1107"/>
              <w:jc w:val="center"/>
              <w:rPr>
                <w:color w:val="000000"/>
                <w:sz w:val="24"/>
                <w:highlight w:val="none"/>
              </w:rPr>
            </w:pPr>
            <w:r>
              <w:rPr>
                <w:color w:val="000000"/>
                <w:sz w:val="24"/>
                <w:highlight w:val="none"/>
              </w:rPr>
            </w:r>
            <w:r/>
          </w:p>
        </w:tc>
      </w:tr>
    </w:tbl>
    <w:p>
      <w:pPr>
        <w:pStyle w:val="110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0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0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w:t>
      </w:r>
      <w:r>
        <w:rPr>
          <w:color w:val="000000"/>
          <w:sz w:val="24"/>
          <w:highlight w:val="none"/>
        </w:rPr>
        <w:t xml:space="preserve">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1107"/>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107"/>
        <w:jc w:val="left"/>
        <w:tabs>
          <w:tab w:val="left" w:pos="1800" w:leader="none"/>
          <w:tab w:val="left" w:pos="5580" w:leader="none"/>
        </w:tabs>
        <w:rPr>
          <w:color w:val="000000"/>
          <w:sz w:val="24"/>
          <w:highlight w:val="none"/>
        </w:rPr>
      </w:pPr>
      <w:r>
        <w:rPr>
          <w:color w:val="000000"/>
          <w:sz w:val="24"/>
          <w:highlight w:val="none"/>
        </w:rPr>
      </w:r>
      <w:r/>
    </w:p>
    <w:p>
      <w:pPr>
        <w:pStyle w:val="1107"/>
        <w:jc w:val="left"/>
        <w:tabs>
          <w:tab w:val="left" w:pos="1800" w:leader="none"/>
          <w:tab w:val="left" w:pos="5580" w:leader="none"/>
        </w:tabs>
        <w:rPr>
          <w:color w:val="000000"/>
          <w:sz w:val="24"/>
          <w:highlight w:val="none"/>
        </w:rPr>
      </w:pPr>
      <w:r>
        <w:rPr>
          <w:color w:val="000000"/>
          <w:sz w:val="24"/>
          <w:highlight w:val="none"/>
        </w:rPr>
      </w:r>
      <w:r/>
    </w:p>
    <w:p>
      <w:pPr>
        <w:pStyle w:val="1107"/>
        <w:rPr>
          <w:color w:val="000000"/>
          <w:sz w:val="24"/>
          <w:szCs w:val="20"/>
          <w:highlight w:val="none"/>
        </w:rPr>
      </w:pPr>
      <w:r>
        <w:rPr>
          <w:color w:val="000000"/>
          <w:sz w:val="24"/>
          <w:szCs w:val="20"/>
          <w:highlight w:val="none"/>
        </w:rPr>
      </w:r>
      <w:r/>
    </w:p>
    <w:p>
      <w:pPr>
        <w:pStyle w:val="110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spacing w:line="360" w:lineRule="auto"/>
        <w:tabs>
          <w:tab w:val="left" w:pos="5580" w:leader="none"/>
        </w:tabs>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如是属于本项目所属行业的中型、小型、微型企业的情形的，可提供《中小企业声明函》格式文件;投标人如是属于本项目所属行业的残疾人福利性单位、监狱企业的情形的，可提供《残疾人福利性单位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未提供的将不享受有关政策，</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2)《中小企业声明函》由参加政府采购活动的投标人出具。</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3）中小企业认定标准以《关于印发中小企业划型标准规定的通知》（工信部联企业〔2011〕300号）文件规定为准。</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ascii="宋体" w:hAnsi="宋体" w:eastAsia="宋体" w:cs="宋体"/>
          <w:color w:val="000000"/>
          <w:sz w:val="24"/>
          <w:szCs w:val="24"/>
          <w:highlight w:val="none"/>
        </w:rPr>
      </w:r>
      <w:r/>
    </w:p>
    <w:p>
      <w:pPr>
        <w:pStyle w:val="1107"/>
        <w:ind w:firstLine="361"/>
        <w:spacing w:line="57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）小微企业未提供声明函的，价格分评审将不予价格扣除。</w:t>
      </w:r>
      <w:r>
        <w:rPr>
          <w:rFonts w:hint="eastAsia" w:ascii="宋体" w:hAnsi="宋体" w:eastAsia="宋体" w:cs="宋体"/>
          <w:b/>
          <w:bCs/>
          <w:color w:val="000000"/>
          <w:sz w:val="24"/>
          <w:szCs w:val="24"/>
          <w:highlight w:val="none"/>
        </w:rPr>
      </w:r>
      <w:r/>
    </w:p>
    <w:p>
      <w:pPr>
        <w:pStyle w:val="1107"/>
        <w:jc w:val="center"/>
        <w:spacing w:before="240" w:after="240" w:line="360" w:lineRule="auto"/>
        <w:rPr>
          <w:b/>
          <w:bCs/>
          <w:color w:val="000000"/>
          <w:sz w:val="36"/>
          <w:szCs w:val="36"/>
          <w:highlight w:val="none"/>
        </w:rPr>
      </w:pPr>
      <w:r>
        <w:rPr>
          <w:color w:val="000000"/>
          <w:sz w:val="24"/>
          <w:szCs w:val="20"/>
          <w:highlight w:val="none"/>
        </w:rPr>
        <w:br w:type="page" w:clear="all"/>
      </w:r>
      <w:r>
        <w:rPr>
          <w:rFonts w:hint="eastAsia"/>
          <w:b/>
          <w:bCs/>
          <w:color w:val="000000"/>
          <w:sz w:val="36"/>
          <w:szCs w:val="36"/>
          <w:highlight w:val="none"/>
        </w:rPr>
        <w:t xml:space="preserve">中小企业声明函</w:t>
      </w:r>
      <w:r>
        <w:rPr>
          <w:b/>
          <w:bCs/>
          <w:color w:val="000000"/>
          <w:sz w:val="36"/>
          <w:szCs w:val="36"/>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rFonts w:hint="eastAsia" w:ascii="宋体" w:hAnsi="宋体" w:eastAsia="宋体" w:cs="宋体"/>
          <w:color w:val="000000"/>
          <w:sz w:val="24"/>
          <w:szCs w:val="24"/>
          <w:highlight w:val="none"/>
          <w:u w:val="single"/>
          <w:lang w:val="en-US" w:eastAsia="zh-CN"/>
        </w:rPr>
        <w:t xml:space="preserve"> </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0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0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1107"/>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0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0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cs="宋体"/>
          <w:color w:val="000000"/>
          <w:sz w:val="24"/>
          <w:szCs w:val="24"/>
          <w:highlight w:val="none"/>
          <w:lang w:val="en-US" w:eastAsia="zh-CN"/>
        </w:rPr>
        <w:t xml:space="preserve">软件和信息技术服务业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110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36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110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107"/>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107"/>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07"/>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07"/>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1107"/>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07"/>
        <w:ind w:firstLine="504"/>
        <w:spacing w:line="588" w:lineRule="exact"/>
        <w:rPr>
          <w:color w:val="000000"/>
          <w:spacing w:val="6"/>
          <w:sz w:val="24"/>
          <w:highlight w:val="none"/>
        </w:rPr>
      </w:pPr>
      <w:r>
        <w:rPr>
          <w:color w:val="000000"/>
          <w:spacing w:val="6"/>
          <w:sz w:val="24"/>
          <w:highlight w:val="none"/>
        </w:rPr>
      </w:r>
      <w:r/>
    </w:p>
    <w:p>
      <w:pPr>
        <w:pStyle w:val="1107"/>
        <w:ind w:firstLine="504"/>
        <w:spacing w:line="588" w:lineRule="exact"/>
        <w:rPr>
          <w:color w:val="000000"/>
          <w:spacing w:val="6"/>
          <w:sz w:val="24"/>
          <w:highlight w:val="none"/>
        </w:rPr>
      </w:pPr>
      <w:r>
        <w:rPr>
          <w:color w:val="000000"/>
          <w:spacing w:val="6"/>
          <w:sz w:val="24"/>
          <w:highlight w:val="none"/>
        </w:rPr>
      </w:r>
      <w:r/>
    </w:p>
    <w:p>
      <w:pPr>
        <w:pStyle w:val="1107"/>
        <w:ind w:firstLine="504"/>
        <w:spacing w:line="588" w:lineRule="exact"/>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单位名称（加盖公章）：</w:t>
      </w:r>
      <w:r>
        <w:rPr>
          <w:rFonts w:ascii="Times New Roman" w:hAnsi="Times New Roman" w:eastAsia="宋体" w:cs="Times New Roman"/>
          <w:color w:val="000000"/>
          <w:spacing w:val="6"/>
          <w:sz w:val="24"/>
          <w:highlight w:val="none"/>
        </w:rPr>
      </w:r>
      <w:r/>
    </w:p>
    <w:p>
      <w:pPr>
        <w:pStyle w:val="1107"/>
        <w:ind w:firstLine="504"/>
        <w:spacing w:line="588" w:lineRule="exact"/>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日  期：</w:t>
      </w:r>
      <w:r>
        <w:rPr>
          <w:rFonts w:ascii="Times New Roman" w:hAnsi="Times New Roman" w:eastAsia="宋体" w:cs="Times New Roman"/>
          <w:color w:val="000000"/>
          <w:spacing w:val="6"/>
          <w:sz w:val="24"/>
          <w:highlight w:val="none"/>
        </w:rPr>
      </w:r>
      <w:r/>
    </w:p>
    <w:p>
      <w:pPr>
        <w:pStyle w:val="1107"/>
        <w:ind w:firstLine="504"/>
        <w:spacing w:line="588" w:lineRule="exact"/>
        <w:rPr>
          <w:rFonts w:hint="eastAsia"/>
          <w:color w:val="000000"/>
          <w:sz w:val="24"/>
          <w:szCs w:val="20"/>
          <w:highlight w:val="none"/>
        </w:rPr>
      </w:pPr>
      <w:r>
        <w:rPr>
          <w:rFonts w:ascii="Times New Roman" w:hAnsi="Times New Roman" w:eastAsia="宋体" w:cs="Times New Roman"/>
          <w:color w:val="000000"/>
          <w:spacing w:val="6"/>
          <w:sz w:val="24"/>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1107"/>
        <w:ind w:firstLine="480"/>
        <w:spacing w:line="560" w:lineRule="exact"/>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lang w:eastAsia="zh-CN"/>
        </w:rPr>
        <w:t xml:space="preserve">）网络安全风险评估及维护服务方案</w:t>
      </w:r>
      <w:r>
        <w:rPr>
          <w:rFonts w:hint="eastAsia"/>
          <w:color w:val="000000"/>
          <w:sz w:val="24"/>
          <w:szCs w:val="20"/>
          <w:highlight w:val="none"/>
          <w:lang w:eastAsia="zh-CN"/>
        </w:rPr>
      </w:r>
      <w:r/>
    </w:p>
    <w:p>
      <w:pPr>
        <w:pStyle w:val="1107"/>
        <w:ind w:firstLine="480"/>
        <w:spacing w:line="560" w:lineRule="exact"/>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lang w:eastAsia="zh-CN"/>
        </w:rPr>
        <w:t xml:space="preserve">）信息化基础设备运维服务方案</w:t>
      </w:r>
      <w:r>
        <w:rPr>
          <w:rFonts w:hint="eastAsia"/>
          <w:color w:val="000000"/>
          <w:sz w:val="24"/>
          <w:szCs w:val="20"/>
          <w:highlight w:val="none"/>
          <w:lang w:eastAsia="zh-CN"/>
        </w:rPr>
      </w:r>
      <w:r/>
    </w:p>
    <w:p>
      <w:pPr>
        <w:pStyle w:val="1107"/>
        <w:ind w:firstLine="480"/>
        <w:spacing w:line="560" w:lineRule="exact"/>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lang w:eastAsia="zh-CN"/>
        </w:rPr>
        <w:t xml:space="preserve">）安防设施运维服务方案</w:t>
      </w:r>
      <w:r>
        <w:rPr>
          <w:rFonts w:hint="eastAsia"/>
          <w:color w:val="000000"/>
          <w:sz w:val="24"/>
          <w:szCs w:val="20"/>
          <w:highlight w:val="none"/>
          <w:lang w:eastAsia="zh-CN"/>
        </w:rPr>
      </w:r>
      <w:r/>
    </w:p>
    <w:p>
      <w:pPr>
        <w:pStyle w:val="1107"/>
        <w:ind w:firstLine="480"/>
        <w:spacing w:line="560" w:lineRule="exact"/>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lang w:eastAsia="zh-CN"/>
        </w:rPr>
        <w:t xml:space="preserve">）通讯系统运维服务方案</w:t>
      </w:r>
      <w:r>
        <w:rPr>
          <w:rFonts w:hint="eastAsia"/>
          <w:color w:val="000000"/>
          <w:sz w:val="24"/>
          <w:szCs w:val="20"/>
          <w:highlight w:val="none"/>
          <w:lang w:eastAsia="zh-CN"/>
        </w:rPr>
      </w:r>
      <w:r/>
    </w:p>
    <w:p>
      <w:pPr>
        <w:pStyle w:val="1107"/>
        <w:ind w:firstLine="480"/>
        <w:spacing w:line="588" w:lineRule="exact"/>
        <w:rPr>
          <w:rFonts w:hint="eastAsia"/>
          <w:color w:val="000000"/>
          <w:sz w:val="24"/>
          <w:highlight w:val="none"/>
          <w:lang w:val="en-US"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lang w:eastAsia="zh-CN"/>
        </w:rPr>
        <w:t xml:space="preserve">）服务保证措施方案</w:t>
      </w:r>
      <w:r>
        <w:rPr>
          <w:rFonts w:hint="eastAsia"/>
          <w:color w:val="000000"/>
          <w:sz w:val="24"/>
          <w:highlight w:val="none"/>
          <w:lang w:val="en-US" w:eastAsia="zh-CN"/>
        </w:rPr>
        <w:br w:type="page" w:clear="all"/>
      </w:r>
      <w:r>
        <w:rPr>
          <w:rFonts w:hint="eastAsia"/>
          <w:color w:val="000000"/>
          <w:sz w:val="24"/>
          <w:highlight w:val="none"/>
          <w:lang w:val="en-US" w:eastAsia="zh-CN"/>
        </w:rPr>
      </w:r>
      <w:r/>
    </w:p>
    <w:p>
      <w:pPr>
        <w:pStyle w:val="1107"/>
        <w:rPr>
          <w:color w:val="000000"/>
          <w:sz w:val="24"/>
          <w:szCs w:val="20"/>
          <w:highlight w:val="none"/>
        </w:rPr>
      </w:pP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1107"/>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0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07"/>
        <w:spacing w:line="360" w:lineRule="auto"/>
        <w:rPr>
          <w:rFonts w:ascii="宋体" w:hAnsi="宋体"/>
          <w:color w:val="000000"/>
          <w:sz w:val="22"/>
          <w:highlight w:val="none"/>
        </w:rPr>
      </w:pPr>
      <w:r>
        <w:rPr>
          <w:rFonts w:ascii="宋体" w:hAnsi="宋体"/>
          <w:color w:val="000000"/>
          <w:sz w:val="22"/>
          <w:highlight w:val="none"/>
        </w:rPr>
      </w:r>
      <w:r/>
    </w:p>
    <w:p>
      <w:pPr>
        <w:pStyle w:val="110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07"/>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07"/>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07"/>
        <w:spacing w:line="360" w:lineRule="auto"/>
        <w:rPr>
          <w:rFonts w:ascii="宋体" w:hAnsi="宋体"/>
          <w:color w:val="000000"/>
          <w:sz w:val="24"/>
          <w:highlight w:val="none"/>
        </w:rPr>
      </w:pPr>
      <w:r>
        <w:rPr>
          <w:rFonts w:ascii="宋体" w:hAnsi="宋体"/>
          <w:color w:val="000000"/>
          <w:sz w:val="24"/>
          <w:highlight w:val="none"/>
        </w:rPr>
      </w:r>
      <w:r/>
    </w:p>
    <w:p>
      <w:pPr>
        <w:pStyle w:val="11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rPr>
          <w:color w:val="000000"/>
          <w:sz w:val="24"/>
          <w:szCs w:val="20"/>
          <w:highlight w:val="none"/>
        </w:rPr>
      </w:pPr>
      <w:r>
        <w:rPr>
          <w:color w:val="000000"/>
          <w:sz w:val="22"/>
          <w:highlight w:val="none"/>
        </w:rPr>
        <w:br w:type="page" w:clear="all"/>
      </w:r>
      <w:bookmarkStart w:id="907" w:name="_Toc288738397"/>
      <w:r/>
      <w:bookmarkStart w:id="908" w:name="_Toc288738839"/>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1107"/>
        <w:rPr>
          <w:color w:val="000000"/>
          <w:sz w:val="24"/>
          <w:szCs w:val="20"/>
          <w:highlight w:val="none"/>
        </w:rPr>
      </w:pPr>
      <w:r>
        <w:rPr>
          <w:color w:val="000000"/>
          <w:sz w:val="24"/>
          <w:szCs w:val="20"/>
          <w:highlight w:val="none"/>
        </w:rPr>
      </w:r>
      <w:r/>
    </w:p>
    <w:p>
      <w:pPr>
        <w:pStyle w:val="110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10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0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0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07"/>
        <w:spacing w:line="360" w:lineRule="auto"/>
        <w:rPr>
          <w:rFonts w:ascii="宋体" w:hAnsi="宋体" w:cs="宋体"/>
          <w:color w:val="000000"/>
          <w:sz w:val="24"/>
          <w:highlight w:val="none"/>
        </w:rPr>
      </w:pPr>
      <w:r>
        <w:rPr>
          <w:rFonts w:ascii="宋体" w:hAnsi="宋体" w:cs="宋体"/>
          <w:color w:val="000000"/>
          <w:sz w:val="24"/>
          <w:highlight w:val="none"/>
        </w:rPr>
      </w:r>
      <w:r/>
    </w:p>
    <w:p>
      <w:pPr>
        <w:pStyle w:val="11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7"/>
        <w:rPr>
          <w:color w:val="000000"/>
          <w:highlight w:val="none"/>
        </w:rPr>
      </w:pPr>
      <w:r>
        <w:rPr>
          <w:color w:val="000000"/>
          <w:highlight w:val="none"/>
        </w:rPr>
      </w:r>
      <w:r/>
    </w:p>
    <w:p>
      <w:pPr>
        <w:pStyle w:val="1107"/>
        <w:rPr>
          <w:color w:val="000000"/>
          <w:highlight w:val="none"/>
        </w:rPr>
      </w:pPr>
      <w:r>
        <w:rPr>
          <w:color w:val="000000"/>
          <w:highlight w:val="none"/>
        </w:rPr>
      </w:r>
      <w:r/>
    </w:p>
    <w:p>
      <w:pPr>
        <w:pStyle w:val="1107"/>
        <w:rPr>
          <w:color w:val="000000"/>
          <w:highlight w:val="none"/>
        </w:rPr>
      </w:pPr>
      <w:r>
        <w:rPr>
          <w:color w:val="000000"/>
          <w:highlight w:val="none"/>
        </w:rPr>
      </w:r>
      <w:r/>
    </w:p>
    <w:p>
      <w:pPr>
        <w:pStyle w:val="1107"/>
        <w:rPr>
          <w:color w:val="000000"/>
          <w:highlight w:val="none"/>
        </w:rPr>
      </w:pPr>
      <w:r>
        <w:rPr>
          <w:color w:val="000000"/>
          <w:highlight w:val="none"/>
        </w:rPr>
      </w:r>
      <w:r/>
    </w:p>
    <w:p>
      <w:pPr>
        <w:pStyle w:val="1107"/>
        <w:rPr>
          <w:color w:val="000000"/>
          <w:highlight w:val="none"/>
        </w:rPr>
      </w:pPr>
      <w:r>
        <w:rPr>
          <w:color w:val="00000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color w:val="000000"/>
          <w:sz w:val="24"/>
          <w:szCs w:val="20"/>
          <w:highlight w:val="none"/>
        </w:rPr>
      </w:r>
      <w:r/>
    </w:p>
    <w:p>
      <w:pPr>
        <w:pStyle w:val="1107"/>
        <w:spacing w:line="360" w:lineRule="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2312">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1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10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1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1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150</w:t>
                          </w:r>
                          <w:r>
                            <w:fldChar w:fldCharType="end"/>
                          </w:r>
                          <w:r>
                            <w:rPr>
                              <w:rFonts w:hint="eastAsia"/>
                              <w:lang w:val="en-US" w:eastAsia="zh-CN"/>
                            </w:rPr>
                            <w:t xml:space="preserve"> </w:t>
                          </w:r>
                          <w:r>
                            <w:t xml:space="preserve">页</w:t>
                          </w:r>
                          <w:r/>
                        </w:p>
                        <w:p>
                          <w:pPr>
                            <w:pStyle w:val="110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150</w:t>
                    </w:r>
                    <w:r>
                      <w:fldChar w:fldCharType="end"/>
                    </w:r>
                    <w:r>
                      <w:rPr>
                        <w:rFonts w:hint="eastAsia"/>
                        <w:lang w:val="en-US" w:eastAsia="zh-CN"/>
                      </w:rPr>
                      <w:t xml:space="preserve"> </w:t>
                    </w:r>
                    <w:r>
                      <w:t xml:space="preserve">页</w:t>
                    </w:r>
                    <w:r/>
                  </w:p>
                  <w:p>
                    <w:pPr>
                      <w:pStyle w:val="110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tabs>
        <w:tab w:val="center" w:pos="4153" w:leader="none"/>
        <w:tab w:val="right" w:pos="8306" w:leader="none"/>
      </w:tabs>
      <w:rPr>
        <w:rStyle w:val="118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10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107"/>
                    </w:pPr>
                    <w:r/>
                    <w:r/>
                  </w:p>
                </w:txbxContent>
              </v:textbox>
            </v:shape>
          </w:pict>
        </mc:Fallback>
      </mc:AlternateContent>
    </w:r>
    <w:r>
      <w:rPr>
        <w:rStyle w:val="1184"/>
      </w:rPr>
    </w:r>
    <w:r/>
  </w:p>
  <w:p>
    <w:pPr>
      <w:pStyle w:val="1158"/>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v:textbox>
            </v:shape>
          </w:pict>
        </mc:Fallback>
      </mc:AlternateContent>
    </w:r>
    <w:r/>
  </w:p>
  <w:p>
    <w:pPr>
      <w:pStyle w:val="1158"/>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v:textbox>
            </v:shape>
          </w:pict>
        </mc:Fallback>
      </mc:AlternateContent>
    </w:r>
    <w:r/>
  </w:p>
  <w:p>
    <w:pPr>
      <w:pStyle w:val="115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07"/>
                    </w:pPr>
                    <w:r/>
                    <w:r/>
                  </w:p>
                </w:txbxContent>
              </v:textbox>
            </v:shape>
          </w:pict>
        </mc:Fallback>
      </mc:AlternateContent>
    </w:r>
    <w:r/>
  </w:p>
  <w:p>
    <w:pPr>
      <w:pStyle w:val="1158"/>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107"/>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107"/>
                    </w:pPr>
                    <w:r/>
                    <w:r/>
                  </w:p>
                </w:txbxContent>
              </v:textbox>
            </v:shape>
          </w:pict>
        </mc:Fallback>
      </mc:AlternateContent>
    </w:r>
    <w:r/>
  </w:p>
  <w:p>
    <w:pPr>
      <w:pStyle w:val="11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right"/>
      <w:tabs>
        <w:tab w:val="center" w:pos="4153" w:leader="none"/>
        <w:tab w:val="right" w:pos="8306" w:leader="none"/>
      </w:tabs>
      <w:rPr>
        <w:lang w:val="en-US" w:eastAsia="zh-CN"/>
      </w:rPr>
      <w:pBdr>
        <w:bottom w:val="single" w:color="000000" w:sz="4" w:space="1"/>
      </w:pBdr>
    </w:pPr>
    <w:r>
      <w:rPr>
        <w:rFonts w:hint="eastAsia" w:ascii="Times New Roman" w:hAnsi="Times New Roman" w:eastAsia="宋体" w:cs="Times New Roman"/>
        <w:color w:val="000000"/>
        <w:lang w:val="en-US" w:eastAsia="zh-CN"/>
      </w:rPr>
      <w:t xml:space="preserve">2026年滨开区新材料产业园智慧园区监管平台基础设施维保项目公</w:t>
    </w:r>
    <w:r>
      <w:rPr>
        <w:rFonts w:hint="eastAsia" w:ascii="Times New Roman" w:hAnsi="Times New Roman" w:eastAsia="宋体" w:cs="Times New Roman"/>
        <w:lang w:val="en-US" w:eastAsia="zh-CN"/>
      </w:rPr>
      <w:t xml:space="preserve">开招标文</w:t>
    </w:r>
    <w:r>
      <w:rPr>
        <w:rFonts w:hint="eastAsia"/>
        <w:lang w:val="en-US" w:eastAsia="zh-CN"/>
      </w:rPr>
      <w:t xml:space="preserve">件</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right"/>
      <w:tabs>
        <w:tab w:val="center" w:pos="4153" w:leader="none"/>
        <w:tab w:val="right" w:pos="8306" w:leader="none"/>
      </w:tabs>
      <w:rPr>
        <w:lang w:val="en-US" w:eastAsia="zh-CN"/>
      </w:rPr>
      <w:pBdr>
        <w:bottom w:val="single" w:color="000000" w:sz="4" w:space="1"/>
      </w:pBdr>
    </w:pPr>
    <w:r>
      <w:rPr>
        <w:rFonts w:hint="eastAsia" w:ascii="Times New Roman" w:hAnsi="Times New Roman" w:eastAsia="宋体" w:cs="Times New Roman"/>
        <w:color w:val="000000"/>
        <w:lang w:val="en-US" w:eastAsia="zh-CN"/>
      </w:rPr>
      <w:t xml:space="preserve">2026年滨开区新材料产业园智慧园区监管平台基础设施维保项目公</w:t>
    </w:r>
    <w:r>
      <w:rPr>
        <w:rFonts w:hint="eastAsia" w:ascii="Times New Roman" w:hAnsi="Times New Roman" w:eastAsia="宋体" w:cs="Times New Roman"/>
        <w:lang w:val="en-US" w:eastAsia="zh-CN"/>
      </w:rPr>
      <w:t xml:space="preserve">开招标</w:t>
    </w:r>
    <w:r>
      <w:rPr>
        <w:rFonts w:hint="eastAsia"/>
        <w:lang w:val="en-US" w:eastAsia="zh-CN"/>
      </w:rPr>
      <w:t xml:space="preserve">文件</w:t>
    </w: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right"/>
      <w:tabs>
        <w:tab w:val="center" w:pos="4153" w:leader="none"/>
        <w:tab w:val="right" w:pos="8306" w:leader="none"/>
      </w:tabs>
    </w:pPr>
    <w:r>
      <w:rPr>
        <w:rFonts w:hint="eastAsia" w:ascii="Times New Roman" w:hAnsi="Times New Roman" w:eastAsia="宋体" w:cs="Times New Roman"/>
        <w:color w:val="000000"/>
        <w:lang w:eastAsia="zh-CN"/>
      </w:rPr>
      <w:t xml:space="preserve">2026年滨开区新材料产业园智慧园区监管平台基础设施维保项目</w:t>
    </w:r>
    <w:r>
      <w:rPr>
        <w:rFonts w:hint="eastAsia" w:ascii="Times New Roman" w:hAnsi="Times New Roman" w:eastAsia="宋体" w:cs="Times New Roman"/>
        <w:lang w:eastAsia="zh-CN"/>
      </w:rPr>
      <w:t xml:space="preserve">公开招</w:t>
    </w:r>
    <w:r>
      <w:rPr>
        <w:rFonts w:hint="eastAsia" w:ascii="Times New Roman" w:hAnsi="Times New Roman" w:eastAsia="宋体" w:cs="Times New Roman"/>
      </w:rPr>
      <w:t xml:space="preserve">标</w:t>
    </w:r>
    <w:r>
      <w:rPr>
        <w:rFonts w:hint="eastAsia"/>
      </w:rP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right"/>
      <w:tabs>
        <w:tab w:val="center" w:pos="4153" w:leader="none"/>
        <w:tab w:val="right" w:pos="8306" w:leader="none"/>
      </w:tabs>
    </w:pPr>
    <w:r>
      <w:rPr>
        <w:rFonts w:hint="eastAsia" w:ascii="Times New Roman" w:hAnsi="Times New Roman" w:eastAsia="宋体" w:cs="Times New Roman"/>
        <w:color w:val="000000"/>
        <w:lang w:eastAsia="zh-CN"/>
      </w:rPr>
      <w:t xml:space="preserve">2026年滨开区新材料产业园智慧园区监管平台基础设施维保项目公开招</w:t>
    </w:r>
    <w:r>
      <w:rPr>
        <w:rFonts w:hint="eastAsia" w:ascii="Times New Roman" w:hAnsi="Times New Roman" w:eastAsia="宋体" w:cs="Times New Roman"/>
      </w:rPr>
      <w:t xml:space="preserve">标</w:t>
    </w:r>
    <w:r>
      <w:rPr>
        <w:rFonts w:hint="eastAsia"/>
      </w:rPr>
      <w:t xml:space="preserve">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07"/>
        <w:ind w:left="4941" w:hanging="1140"/>
        <w:tabs>
          <w:tab w:val="num" w:pos="4941" w:leader="none"/>
        </w:tabs>
      </w:pPr>
      <w:rPr>
        <w:rFonts w:hint="eastAsia"/>
      </w:rPr>
    </w:lvl>
    <w:lvl w:ilvl="1">
      <w:start w:val="1"/>
      <w:numFmt w:val="lowerLetter"/>
      <w:isLgl w:val="false"/>
      <w:suff w:val="tab"/>
      <w:lvlText w:val="%2)"/>
      <w:lvlJc w:val="left"/>
      <w:pPr>
        <w:pStyle w:val="1107"/>
        <w:ind w:left="4641" w:hanging="420"/>
        <w:tabs>
          <w:tab w:val="num" w:pos="4641" w:leader="none"/>
        </w:tabs>
      </w:pPr>
    </w:lvl>
    <w:lvl w:ilvl="2">
      <w:start w:val="1"/>
      <w:numFmt w:val="lowerRoman"/>
      <w:isLgl w:val="false"/>
      <w:suff w:val="tab"/>
      <w:lvlText w:val="%3."/>
      <w:lvlJc w:val="right"/>
      <w:pPr>
        <w:pStyle w:val="1107"/>
        <w:ind w:left="5061" w:hanging="420"/>
        <w:tabs>
          <w:tab w:val="num" w:pos="5061" w:leader="none"/>
        </w:tabs>
      </w:pPr>
    </w:lvl>
    <w:lvl w:ilvl="3">
      <w:start w:val="1"/>
      <w:numFmt w:val="decimal"/>
      <w:isLgl w:val="false"/>
      <w:suff w:val="tab"/>
      <w:lvlText w:val="%4."/>
      <w:lvlJc w:val="left"/>
      <w:pPr>
        <w:pStyle w:val="1107"/>
        <w:ind w:left="5481" w:hanging="420"/>
        <w:tabs>
          <w:tab w:val="num" w:pos="5481" w:leader="none"/>
        </w:tabs>
      </w:pPr>
    </w:lvl>
    <w:lvl w:ilvl="4">
      <w:start w:val="1"/>
      <w:numFmt w:val="lowerLetter"/>
      <w:isLgl w:val="false"/>
      <w:suff w:val="tab"/>
      <w:lvlText w:val="%5)"/>
      <w:lvlJc w:val="left"/>
      <w:pPr>
        <w:pStyle w:val="1107"/>
        <w:ind w:left="5901" w:hanging="420"/>
        <w:tabs>
          <w:tab w:val="num" w:pos="5901" w:leader="none"/>
        </w:tabs>
      </w:pPr>
    </w:lvl>
    <w:lvl w:ilvl="5">
      <w:start w:val="1"/>
      <w:numFmt w:val="lowerRoman"/>
      <w:isLgl w:val="false"/>
      <w:suff w:val="tab"/>
      <w:lvlText w:val="%6."/>
      <w:lvlJc w:val="right"/>
      <w:pPr>
        <w:pStyle w:val="1107"/>
        <w:ind w:left="6321" w:hanging="420"/>
        <w:tabs>
          <w:tab w:val="num" w:pos="6321" w:leader="none"/>
        </w:tabs>
      </w:pPr>
    </w:lvl>
    <w:lvl w:ilvl="6">
      <w:start w:val="1"/>
      <w:numFmt w:val="decimal"/>
      <w:isLgl w:val="false"/>
      <w:suff w:val="tab"/>
      <w:lvlText w:val="%7."/>
      <w:lvlJc w:val="left"/>
      <w:pPr>
        <w:pStyle w:val="1107"/>
        <w:ind w:left="6741" w:hanging="420"/>
        <w:tabs>
          <w:tab w:val="num" w:pos="6741" w:leader="none"/>
        </w:tabs>
      </w:pPr>
    </w:lvl>
    <w:lvl w:ilvl="7">
      <w:start w:val="1"/>
      <w:numFmt w:val="lowerLetter"/>
      <w:isLgl w:val="false"/>
      <w:suff w:val="tab"/>
      <w:lvlText w:val="%8)"/>
      <w:lvlJc w:val="left"/>
      <w:pPr>
        <w:pStyle w:val="1107"/>
        <w:ind w:left="7161" w:hanging="420"/>
        <w:tabs>
          <w:tab w:val="num" w:pos="7161" w:leader="none"/>
        </w:tabs>
      </w:pPr>
    </w:lvl>
    <w:lvl w:ilvl="8">
      <w:start w:val="1"/>
      <w:numFmt w:val="lowerRoman"/>
      <w:isLgl w:val="false"/>
      <w:suff w:val="tab"/>
      <w:lvlText w:val="%9."/>
      <w:lvlJc w:val="right"/>
      <w:pPr>
        <w:pStyle w:val="1107"/>
        <w:ind w:left="7581" w:hanging="420"/>
        <w:tabs>
          <w:tab w:val="num" w:pos="7581" w:leader="none"/>
        </w:tabs>
      </w:pPr>
    </w:lvl>
  </w:abstractNum>
  <w:abstractNum w:abstractNumId="1">
    <w:multiLevelType w:val="hybridMultilevel"/>
    <w:lvl w:ilvl="0">
      <w:start w:val="1"/>
      <w:numFmt w:val="decimal"/>
      <w:pStyle w:val="1269"/>
      <w:isLgl w:val="false"/>
      <w:suff w:val="tab"/>
      <w:lvlText w:val="%1."/>
      <w:lvlJc w:val="left"/>
      <w:pPr>
        <w:pStyle w:val="1107"/>
        <w:ind w:left="420" w:hanging="420"/>
      </w:pPr>
    </w:lvl>
    <w:lvl w:ilvl="1">
      <w:start w:val="1"/>
      <w:numFmt w:val="decimal"/>
      <w:isLgl w:val="false"/>
      <w:suff w:val="tab"/>
      <w:lvlText w:val="（%2）"/>
      <w:lvlJc w:val="left"/>
      <w:pPr>
        <w:pStyle w:val="1107"/>
        <w:ind w:left="1140" w:hanging="720"/>
        <w:tabs>
          <w:tab w:val="num" w:pos="1140" w:leader="none"/>
        </w:tabs>
      </w:pPr>
      <w:rPr>
        <w:rFonts w:hint="eastAsia"/>
      </w:rPr>
    </w:lvl>
    <w:lvl w:ilvl="2">
      <w:start w:val="1"/>
      <w:numFmt w:val="lowerRoman"/>
      <w:isLgl w:val="false"/>
      <w:suff w:val="tab"/>
      <w:lvlText w:val="%3."/>
      <w:lvlJc w:val="right"/>
      <w:pPr>
        <w:pStyle w:val="1107"/>
        <w:ind w:left="1260" w:hanging="420"/>
      </w:pPr>
    </w:lvl>
    <w:lvl w:ilvl="3">
      <w:start w:val="1"/>
      <w:numFmt w:val="decimal"/>
      <w:isLgl w:val="false"/>
      <w:suff w:val="tab"/>
      <w:lvlText w:val="%4."/>
      <w:lvlJc w:val="left"/>
      <w:pPr>
        <w:pStyle w:val="1107"/>
        <w:ind w:left="1680" w:hanging="420"/>
      </w:pPr>
    </w:lvl>
    <w:lvl w:ilvl="4">
      <w:start w:val="1"/>
      <w:numFmt w:val="lowerLetter"/>
      <w:isLgl w:val="false"/>
      <w:suff w:val="tab"/>
      <w:lvlText w:val="%5)"/>
      <w:lvlJc w:val="left"/>
      <w:pPr>
        <w:pStyle w:val="1107"/>
        <w:ind w:left="2100" w:hanging="420"/>
      </w:pPr>
    </w:lvl>
    <w:lvl w:ilvl="5">
      <w:start w:val="1"/>
      <w:numFmt w:val="lowerRoman"/>
      <w:isLgl w:val="false"/>
      <w:suff w:val="tab"/>
      <w:lvlText w:val="%6."/>
      <w:lvlJc w:val="right"/>
      <w:pPr>
        <w:pStyle w:val="1107"/>
        <w:ind w:left="2520" w:hanging="420"/>
      </w:pPr>
    </w:lvl>
    <w:lvl w:ilvl="6">
      <w:start w:val="1"/>
      <w:numFmt w:val="decimal"/>
      <w:isLgl w:val="false"/>
      <w:suff w:val="tab"/>
      <w:lvlText w:val="%7."/>
      <w:lvlJc w:val="left"/>
      <w:pPr>
        <w:pStyle w:val="1107"/>
        <w:ind w:left="2940" w:hanging="420"/>
      </w:pPr>
    </w:lvl>
    <w:lvl w:ilvl="7">
      <w:start w:val="1"/>
      <w:numFmt w:val="lowerLetter"/>
      <w:isLgl w:val="false"/>
      <w:suff w:val="tab"/>
      <w:lvlText w:val="%8)"/>
      <w:lvlJc w:val="left"/>
      <w:pPr>
        <w:pStyle w:val="1107"/>
        <w:ind w:left="3360" w:hanging="420"/>
      </w:pPr>
    </w:lvl>
    <w:lvl w:ilvl="8">
      <w:start w:val="1"/>
      <w:numFmt w:val="lowerRoman"/>
      <w:isLgl w:val="false"/>
      <w:suff w:val="tab"/>
      <w:lvlText w:val="%9."/>
      <w:lvlJc w:val="right"/>
      <w:pPr>
        <w:pStyle w:val="1107"/>
        <w:ind w:left="3780" w:hanging="420"/>
      </w:pPr>
    </w:lvl>
  </w:abstractNum>
  <w:abstractNum w:abstractNumId="2">
    <w:multiLevelType w:val="hybridMultilevel"/>
    <w:lvl w:ilvl="0">
      <w:start w:val="1"/>
      <w:numFmt w:val="lowerLetter"/>
      <w:pStyle w:val="1339"/>
      <w:isLgl w:val="false"/>
      <w:suff w:val="tab"/>
      <w:lvlText w:val="%1)"/>
      <w:lvlJc w:val="left"/>
      <w:pPr>
        <w:pStyle w:val="1107"/>
        <w:ind w:left="902" w:hanging="420"/>
      </w:pPr>
      <w:rPr>
        <w:color w:val="000000"/>
      </w:rPr>
    </w:lvl>
    <w:lvl w:ilvl="1">
      <w:start w:val="1"/>
      <w:numFmt w:val="lowerLetter"/>
      <w:isLgl w:val="false"/>
      <w:suff w:val="tab"/>
      <w:lvlText w:val="%2)"/>
      <w:lvlJc w:val="left"/>
      <w:pPr>
        <w:pStyle w:val="1107"/>
        <w:ind w:left="1322" w:hanging="420"/>
      </w:pPr>
    </w:lvl>
    <w:lvl w:ilvl="2">
      <w:start w:val="1"/>
      <w:numFmt w:val="lowerRoman"/>
      <w:isLgl w:val="false"/>
      <w:suff w:val="tab"/>
      <w:lvlText w:val="%3."/>
      <w:lvlJc w:val="right"/>
      <w:pPr>
        <w:pStyle w:val="1107"/>
        <w:ind w:left="1742" w:hanging="420"/>
      </w:pPr>
    </w:lvl>
    <w:lvl w:ilvl="3">
      <w:start w:val="1"/>
      <w:numFmt w:val="decimal"/>
      <w:isLgl w:val="false"/>
      <w:suff w:val="tab"/>
      <w:lvlText w:val="%4."/>
      <w:lvlJc w:val="left"/>
      <w:pPr>
        <w:pStyle w:val="1107"/>
        <w:ind w:left="2162" w:hanging="420"/>
      </w:pPr>
    </w:lvl>
    <w:lvl w:ilvl="4">
      <w:start w:val="1"/>
      <w:numFmt w:val="lowerLetter"/>
      <w:isLgl w:val="false"/>
      <w:suff w:val="tab"/>
      <w:lvlText w:val="%5)"/>
      <w:lvlJc w:val="left"/>
      <w:pPr>
        <w:pStyle w:val="1107"/>
        <w:ind w:left="2582" w:hanging="420"/>
      </w:pPr>
    </w:lvl>
    <w:lvl w:ilvl="5">
      <w:start w:val="1"/>
      <w:numFmt w:val="lowerRoman"/>
      <w:isLgl w:val="false"/>
      <w:suff w:val="tab"/>
      <w:lvlText w:val="%6."/>
      <w:lvlJc w:val="right"/>
      <w:pPr>
        <w:pStyle w:val="1107"/>
        <w:ind w:left="3002" w:hanging="420"/>
      </w:pPr>
    </w:lvl>
    <w:lvl w:ilvl="6">
      <w:start w:val="1"/>
      <w:numFmt w:val="decimal"/>
      <w:isLgl w:val="false"/>
      <w:suff w:val="tab"/>
      <w:lvlText w:val="%7."/>
      <w:lvlJc w:val="left"/>
      <w:pPr>
        <w:pStyle w:val="1107"/>
        <w:ind w:left="3422" w:hanging="420"/>
      </w:pPr>
    </w:lvl>
    <w:lvl w:ilvl="7">
      <w:start w:val="1"/>
      <w:numFmt w:val="lowerLetter"/>
      <w:isLgl w:val="false"/>
      <w:suff w:val="tab"/>
      <w:lvlText w:val="%8)"/>
      <w:lvlJc w:val="left"/>
      <w:pPr>
        <w:pStyle w:val="1107"/>
        <w:ind w:left="3842" w:hanging="420"/>
      </w:pPr>
    </w:lvl>
    <w:lvl w:ilvl="8">
      <w:start w:val="1"/>
      <w:numFmt w:val="lowerRoman"/>
      <w:isLgl w:val="false"/>
      <w:suff w:val="tab"/>
      <w:lvlText w:val="%9."/>
      <w:lvlJc w:val="right"/>
      <w:pPr>
        <w:pStyle w:val="1107"/>
        <w:ind w:left="4262" w:hanging="420"/>
      </w:pPr>
    </w:lvl>
  </w:abstractNum>
  <w:abstractNum w:abstractNumId="3">
    <w:multiLevelType w:val="hybridMultilevel"/>
    <w:lvl w:ilvl="0">
      <w:start w:val="1"/>
      <w:numFmt w:val="decimal"/>
      <w:pStyle w:val="1282"/>
      <w:isLgl w:val="false"/>
      <w:suff w:val="tab"/>
      <w:lvlText w:val="%1."/>
      <w:lvlJc w:val="left"/>
      <w:pPr>
        <w:pStyle w:val="110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9"/>
      <w:isLgl w:val="false"/>
      <w:suff w:val="nothing"/>
      <w:lvlText w:val="%1　"/>
      <w:lvlJc w:val="left"/>
      <w:pPr>
        <w:pStyle w:val="110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7"/>
        <w:ind w:left="-25" w:firstLine="0"/>
      </w:pPr>
      <w:rPr>
        <w:rFonts w:ascii="Times New Roman" w:hAnsi="Times New Roman" w:eastAsia="黑体"/>
        <w:b/>
        <w:i w:val="0"/>
        <w:sz w:val="28"/>
      </w:rPr>
    </w:lvl>
    <w:lvl w:ilvl="3">
      <w:start w:val="1"/>
      <w:numFmt w:val="decimal"/>
      <w:pStyle w:val="1336"/>
      <w:isLgl w:val="false"/>
      <w:suff w:val="nothing"/>
      <w:lvlText w:val="%1.%2.%3.%4　"/>
      <w:lvlJc w:val="left"/>
      <w:pPr>
        <w:pStyle w:val="110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7"/>
        <w:ind w:left="-25" w:firstLine="0"/>
      </w:pPr>
      <w:rPr>
        <w:rFonts w:ascii="Times New Roman" w:hAnsi="Times New Roman" w:eastAsia="宋体"/>
        <w:b/>
        <w:i w:val="0"/>
        <w:sz w:val="28"/>
      </w:rPr>
    </w:lvl>
    <w:lvl w:ilvl="6">
      <w:start w:val="1"/>
      <w:numFmt w:val="lowerLetter"/>
      <w:pStyle w:val="1281"/>
      <w:isLgl w:val="false"/>
      <w:suff w:val="tab"/>
      <w:lvlText w:val="%7) "/>
      <w:lvlJc w:val="left"/>
      <w:pPr>
        <w:pStyle w:val="1107"/>
        <w:ind w:left="-125" w:firstLine="400"/>
        <w:tabs>
          <w:tab w:val="num" w:pos="635" w:leader="none"/>
        </w:tabs>
      </w:pPr>
      <w:rPr>
        <w:rFonts w:ascii="Times New Roman" w:hAnsi="Times New Roman" w:eastAsia="宋体"/>
        <w:b/>
        <w:i w:val="0"/>
        <w:color w:val="000000"/>
        <w:sz w:val="28"/>
        <w:u w:val="none"/>
      </w:rPr>
    </w:lvl>
    <w:lvl w:ilvl="7">
      <w:start w:val="1"/>
      <w:numFmt w:val="decimal"/>
      <w:pStyle w:val="1295"/>
      <w:isLgl w:val="false"/>
      <w:suff w:val="tab"/>
      <w:lvlText w:val="%8) "/>
      <w:lvlJc w:val="left"/>
      <w:pPr>
        <w:pStyle w:val="110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07"/>
        <w:ind w:left="768" w:hanging="360"/>
        <w:tabs>
          <w:tab w:val="num" w:pos="768" w:leader="none"/>
        </w:tabs>
      </w:pPr>
      <w:rPr>
        <w:rFonts w:hint="eastAsia"/>
      </w:rPr>
    </w:lvl>
    <w:lvl w:ilvl="1">
      <w:start w:val="1"/>
      <w:numFmt w:val="decimal"/>
      <w:pStyle w:val="1241"/>
      <w:isLgl w:val="false"/>
      <w:suff w:val="tab"/>
      <w:lvlText w:val="%2、"/>
      <w:lvlJc w:val="left"/>
      <w:pPr>
        <w:pStyle w:val="1107"/>
        <w:ind w:left="1188" w:hanging="360"/>
        <w:tabs>
          <w:tab w:val="num" w:pos="1188" w:leader="none"/>
        </w:tabs>
      </w:pPr>
      <w:rPr>
        <w:rFonts w:hint="eastAsia"/>
      </w:rPr>
    </w:lvl>
    <w:lvl w:ilvl="2">
      <w:start w:val="1"/>
      <w:numFmt w:val="decimal"/>
      <w:isLgl w:val="false"/>
      <w:suff w:val="tab"/>
      <w:lvlText w:val="（%3）"/>
      <w:lvlJc w:val="left"/>
      <w:pPr>
        <w:pStyle w:val="1107"/>
        <w:ind w:left="1968" w:hanging="720"/>
        <w:tabs>
          <w:tab w:val="num" w:pos="1968" w:leader="none"/>
        </w:tabs>
      </w:pPr>
      <w:rPr>
        <w:rFonts w:hint="eastAsia"/>
        <w:u w:val="none"/>
      </w:rPr>
    </w:lvl>
    <w:lvl w:ilvl="3">
      <w:start w:val="1"/>
      <w:numFmt w:val="decimal"/>
      <w:isLgl w:val="false"/>
      <w:suff w:val="tab"/>
      <w:lvlText w:val="%4."/>
      <w:lvlJc w:val="left"/>
      <w:pPr>
        <w:pStyle w:val="1107"/>
        <w:ind w:left="2088" w:hanging="420"/>
        <w:tabs>
          <w:tab w:val="num" w:pos="2088" w:leader="none"/>
        </w:tabs>
      </w:pPr>
    </w:lvl>
    <w:lvl w:ilvl="4">
      <w:start w:val="1"/>
      <w:numFmt w:val="lowerLetter"/>
      <w:isLgl w:val="false"/>
      <w:suff w:val="tab"/>
      <w:lvlText w:val="%5)"/>
      <w:lvlJc w:val="left"/>
      <w:pPr>
        <w:pStyle w:val="1107"/>
        <w:ind w:left="2508" w:hanging="420"/>
        <w:tabs>
          <w:tab w:val="num" w:pos="2508" w:leader="none"/>
        </w:tabs>
      </w:pPr>
    </w:lvl>
    <w:lvl w:ilvl="5">
      <w:start w:val="1"/>
      <w:numFmt w:val="lowerRoman"/>
      <w:isLgl w:val="false"/>
      <w:suff w:val="tab"/>
      <w:lvlText w:val="%6."/>
      <w:lvlJc w:val="right"/>
      <w:pPr>
        <w:pStyle w:val="1107"/>
        <w:ind w:left="2928" w:hanging="420"/>
        <w:tabs>
          <w:tab w:val="num" w:pos="2928" w:leader="none"/>
        </w:tabs>
      </w:pPr>
    </w:lvl>
    <w:lvl w:ilvl="6">
      <w:start w:val="1"/>
      <w:numFmt w:val="decimal"/>
      <w:isLgl w:val="false"/>
      <w:suff w:val="tab"/>
      <w:lvlText w:val="%7."/>
      <w:lvlJc w:val="left"/>
      <w:pPr>
        <w:pStyle w:val="1107"/>
        <w:ind w:left="3348" w:hanging="420"/>
        <w:tabs>
          <w:tab w:val="num" w:pos="3348" w:leader="none"/>
        </w:tabs>
      </w:pPr>
    </w:lvl>
    <w:lvl w:ilvl="7">
      <w:start w:val="1"/>
      <w:numFmt w:val="lowerLetter"/>
      <w:isLgl w:val="false"/>
      <w:suff w:val="tab"/>
      <w:lvlText w:val="%8)"/>
      <w:lvlJc w:val="left"/>
      <w:pPr>
        <w:pStyle w:val="1107"/>
        <w:ind w:left="3768" w:hanging="420"/>
        <w:tabs>
          <w:tab w:val="num" w:pos="3768" w:leader="none"/>
        </w:tabs>
      </w:pPr>
    </w:lvl>
    <w:lvl w:ilvl="8">
      <w:start w:val="1"/>
      <w:numFmt w:val="lowerRoman"/>
      <w:isLgl w:val="false"/>
      <w:suff w:val="tab"/>
      <w:lvlText w:val="%9."/>
      <w:lvlJc w:val="right"/>
      <w:pPr>
        <w:pStyle w:val="110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07"/>
        <w:ind w:left="900" w:hanging="900"/>
        <w:tabs>
          <w:tab w:val="num" w:pos="900" w:leader="none"/>
        </w:tabs>
      </w:pPr>
      <w:rPr>
        <w:rFonts w:hint="eastAsia"/>
      </w:rPr>
    </w:lvl>
    <w:lvl w:ilvl="1">
      <w:start w:val="1"/>
      <w:numFmt w:val="decimal"/>
      <w:isLgl w:val="false"/>
      <w:suff w:val="tab"/>
      <w:lvlText w:val="%1.%2"/>
      <w:lvlJc w:val="left"/>
      <w:pPr>
        <w:pStyle w:val="11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7"/>
        <w:ind w:left="1980" w:hanging="900"/>
        <w:tabs>
          <w:tab w:val="num" w:pos="1980" w:leader="none"/>
        </w:tabs>
      </w:pPr>
      <w:rPr>
        <w:rFonts w:hint="eastAsia"/>
      </w:rPr>
    </w:lvl>
    <w:lvl w:ilvl="3">
      <w:start w:val="1"/>
      <w:numFmt w:val="decimal"/>
      <w:isLgl w:val="false"/>
      <w:suff w:val="tab"/>
      <w:lvlText w:val="%1.%2.%3.%4"/>
      <w:lvlJc w:val="left"/>
      <w:pPr>
        <w:pStyle w:val="1107"/>
        <w:ind w:left="900" w:hanging="900"/>
        <w:tabs>
          <w:tab w:val="num" w:pos="900" w:leader="none"/>
        </w:tabs>
      </w:pPr>
      <w:rPr>
        <w:rFonts w:hint="eastAsia"/>
      </w:rPr>
    </w:lvl>
    <w:lvl w:ilvl="4">
      <w:start w:val="1"/>
      <w:numFmt w:val="decimal"/>
      <w:isLgl w:val="false"/>
      <w:suff w:val="tab"/>
      <w:lvlText w:val="%1.%2.%3.%4.%5"/>
      <w:lvlJc w:val="left"/>
      <w:pPr>
        <w:pStyle w:val="1107"/>
        <w:ind w:left="900" w:hanging="900"/>
        <w:tabs>
          <w:tab w:val="num" w:pos="900" w:leader="none"/>
        </w:tabs>
      </w:pPr>
      <w:rPr>
        <w:rFonts w:hint="eastAsia"/>
      </w:rPr>
    </w:lvl>
    <w:lvl w:ilvl="5">
      <w:start w:val="1"/>
      <w:numFmt w:val="decimal"/>
      <w:isLgl w:val="false"/>
      <w:suff w:val="tab"/>
      <w:lvlText w:val="%1.%2.%3.%4.%5.%6"/>
      <w:lvlJc w:val="left"/>
      <w:pPr>
        <w:pStyle w:val="1107"/>
        <w:ind w:left="900" w:hanging="900"/>
        <w:tabs>
          <w:tab w:val="num" w:pos="900" w:leader="none"/>
        </w:tabs>
      </w:pPr>
      <w:rPr>
        <w:rFonts w:hint="eastAsia"/>
      </w:rPr>
    </w:lvl>
    <w:lvl w:ilvl="6">
      <w:start w:val="1"/>
      <w:numFmt w:val="decimal"/>
      <w:isLgl w:val="false"/>
      <w:suff w:val="tab"/>
      <w:lvlText w:val="%1.%2.%3.%4.%5.%6.%7"/>
      <w:lvlJc w:val="left"/>
      <w:pPr>
        <w:pStyle w:val="1107"/>
        <w:ind w:left="900" w:hanging="900"/>
        <w:tabs>
          <w:tab w:val="num" w:pos="900" w:leader="none"/>
        </w:tabs>
      </w:pPr>
      <w:rPr>
        <w:rFonts w:hint="eastAsia"/>
      </w:rPr>
    </w:lvl>
    <w:lvl w:ilvl="7">
      <w:start w:val="1"/>
      <w:numFmt w:val="decimal"/>
      <w:isLgl w:val="false"/>
      <w:suff w:val="tab"/>
      <w:lvlText w:val="%1.%2.%3.%4.%5.%6.%7.%8"/>
      <w:lvlJc w:val="left"/>
      <w:pPr>
        <w:pStyle w:val="1107"/>
        <w:ind w:left="900" w:hanging="900"/>
        <w:tabs>
          <w:tab w:val="num" w:pos="900" w:leader="none"/>
        </w:tabs>
      </w:pPr>
      <w:rPr>
        <w:rFonts w:hint="eastAsia"/>
      </w:rPr>
    </w:lvl>
    <w:lvl w:ilvl="8">
      <w:start w:val="1"/>
      <w:numFmt w:val="decimal"/>
      <w:isLgl w:val="false"/>
      <w:suff w:val="tab"/>
      <w:lvlText w:val="%1.%2.%3.%4.%5.%6.%7.%8.%9"/>
      <w:lvlJc w:val="left"/>
      <w:pPr>
        <w:pStyle w:val="1107"/>
        <w:ind w:left="900" w:hanging="900"/>
        <w:tabs>
          <w:tab w:val="num" w:pos="900" w:leader="none"/>
        </w:tabs>
      </w:pPr>
      <w:rPr>
        <w:rFonts w:hint="eastAsia"/>
      </w:rPr>
    </w:lvl>
  </w:abstractNum>
  <w:abstractNum w:abstractNumId="7">
    <w:multiLevelType w:val="hybridMultilevel"/>
    <w:lvl w:ilvl="0">
      <w:start w:val="1"/>
      <w:numFmt w:val="decimal"/>
      <w:pStyle w:val="1305"/>
      <w:isLgl w:val="false"/>
      <w:suff w:val="tab"/>
      <w:lvlText w:val="%1)"/>
      <w:lvlJc w:val="left"/>
      <w:pPr>
        <w:pStyle w:val="1107"/>
        <w:ind w:left="420" w:hanging="420"/>
      </w:pPr>
    </w:lvl>
    <w:lvl w:ilvl="1">
      <w:start w:val="1"/>
      <w:numFmt w:val="lowerLetter"/>
      <w:isLgl w:val="false"/>
      <w:suff w:val="tab"/>
      <w:lvlText w:val="%2)"/>
      <w:lvlJc w:val="left"/>
      <w:pPr>
        <w:pStyle w:val="1107"/>
        <w:ind w:left="840" w:hanging="420"/>
      </w:pPr>
    </w:lvl>
    <w:lvl w:ilvl="2">
      <w:start w:val="1"/>
      <w:numFmt w:val="lowerRoman"/>
      <w:isLgl w:val="false"/>
      <w:suff w:val="tab"/>
      <w:lvlText w:val="%3."/>
      <w:lvlJc w:val="right"/>
      <w:pPr>
        <w:pStyle w:val="1107"/>
        <w:ind w:left="1260" w:hanging="420"/>
      </w:pPr>
    </w:lvl>
    <w:lvl w:ilvl="3">
      <w:start w:val="1"/>
      <w:numFmt w:val="decimal"/>
      <w:isLgl w:val="false"/>
      <w:suff w:val="tab"/>
      <w:lvlText w:val="%4."/>
      <w:lvlJc w:val="left"/>
      <w:pPr>
        <w:pStyle w:val="1107"/>
        <w:ind w:left="1680" w:hanging="420"/>
      </w:pPr>
    </w:lvl>
    <w:lvl w:ilvl="4">
      <w:start w:val="1"/>
      <w:numFmt w:val="lowerLetter"/>
      <w:isLgl w:val="false"/>
      <w:suff w:val="tab"/>
      <w:lvlText w:val="%5)"/>
      <w:lvlJc w:val="left"/>
      <w:pPr>
        <w:pStyle w:val="1107"/>
        <w:ind w:left="2100" w:hanging="420"/>
      </w:pPr>
    </w:lvl>
    <w:lvl w:ilvl="5">
      <w:start w:val="1"/>
      <w:numFmt w:val="lowerRoman"/>
      <w:isLgl w:val="false"/>
      <w:suff w:val="tab"/>
      <w:lvlText w:val="%6."/>
      <w:lvlJc w:val="right"/>
      <w:pPr>
        <w:pStyle w:val="1107"/>
        <w:ind w:left="2520" w:hanging="420"/>
      </w:pPr>
    </w:lvl>
    <w:lvl w:ilvl="6">
      <w:start w:val="1"/>
      <w:numFmt w:val="decimal"/>
      <w:isLgl w:val="false"/>
      <w:suff w:val="tab"/>
      <w:lvlText w:val="%7."/>
      <w:lvlJc w:val="left"/>
      <w:pPr>
        <w:pStyle w:val="1107"/>
        <w:ind w:left="2940" w:hanging="420"/>
      </w:pPr>
    </w:lvl>
    <w:lvl w:ilvl="7">
      <w:start w:val="1"/>
      <w:numFmt w:val="lowerLetter"/>
      <w:isLgl w:val="false"/>
      <w:suff w:val="tab"/>
      <w:lvlText w:val="%8)"/>
      <w:lvlJc w:val="left"/>
      <w:pPr>
        <w:pStyle w:val="1107"/>
        <w:ind w:left="3360" w:hanging="420"/>
      </w:pPr>
    </w:lvl>
    <w:lvl w:ilvl="8">
      <w:start w:val="1"/>
      <w:numFmt w:val="lowerRoman"/>
      <w:isLgl w:val="false"/>
      <w:suff w:val="tab"/>
      <w:lvlText w:val="%9."/>
      <w:lvlJc w:val="right"/>
      <w:pPr>
        <w:pStyle w:val="1107"/>
        <w:ind w:left="3780" w:hanging="420"/>
      </w:pPr>
    </w:lvl>
  </w:abstractNum>
  <w:abstractNum w:abstractNumId="8">
    <w:multiLevelType w:val="hybridMultilevel"/>
    <w:lvl w:ilvl="0">
      <w:start w:val="1"/>
      <w:numFmt w:val="decimal"/>
      <w:pStyle w:val="1242"/>
      <w:isLgl w:val="false"/>
      <w:suff w:val="tab"/>
      <w:lvlText w:val="%1"/>
      <w:lvlJc w:val="left"/>
      <w:pPr>
        <w:pStyle w:val="1107"/>
        <w:ind w:left="680" w:hanging="680"/>
      </w:pPr>
      <w:rPr>
        <w:rFonts w:hint="eastAsia" w:ascii="宋体" w:hAnsi="宋体" w:eastAsia="宋体"/>
      </w:rPr>
    </w:lvl>
    <w:lvl w:ilvl="1">
      <w:start w:val="1"/>
      <w:numFmt w:val="decimal"/>
      <w:pStyle w:val="1306"/>
      <w:isLgl w:val="false"/>
      <w:suff w:val="tab"/>
      <w:lvlText w:val="%1.%2"/>
      <w:lvlJc w:val="left"/>
      <w:pPr>
        <w:pStyle w:val="1107"/>
        <w:ind w:left="851" w:hanging="851"/>
      </w:pPr>
      <w:rPr>
        <w:rFonts w:hint="eastAsia" w:ascii="宋体" w:hAnsi="宋体" w:eastAsia="宋体"/>
        <w:color w:val="000000"/>
      </w:rPr>
    </w:lvl>
    <w:lvl w:ilvl="2">
      <w:start w:val="1"/>
      <w:numFmt w:val="decimal"/>
      <w:pStyle w:val="1273"/>
      <w:isLgl w:val="false"/>
      <w:suff w:val="tab"/>
      <w:lvlText w:val="%1.%2.%3"/>
      <w:lvlJc w:val="left"/>
      <w:pPr>
        <w:pStyle w:val="1107"/>
        <w:ind w:left="851" w:hanging="851"/>
      </w:pPr>
      <w:rPr>
        <w:rFonts w:hint="eastAsia"/>
      </w:rPr>
    </w:lvl>
    <w:lvl w:ilvl="3">
      <w:start w:val="1"/>
      <w:numFmt w:val="decimal"/>
      <w:isLgl w:val="false"/>
      <w:suff w:val="tab"/>
      <w:lvlText w:val="%1.%2.%3.%4"/>
      <w:lvlJc w:val="left"/>
      <w:pPr>
        <w:pStyle w:val="1107"/>
        <w:ind w:left="680" w:hanging="680"/>
      </w:pPr>
      <w:rPr>
        <w:rFonts w:hint="eastAsia"/>
      </w:rPr>
    </w:lvl>
    <w:lvl w:ilvl="4">
      <w:start w:val="1"/>
      <w:numFmt w:val="decimal"/>
      <w:isLgl w:val="false"/>
      <w:suff w:val="tab"/>
      <w:lvlText w:val="%1.%2.%3.%4.%5"/>
      <w:lvlJc w:val="left"/>
      <w:pPr>
        <w:pStyle w:val="1107"/>
        <w:ind w:left="680" w:hanging="680"/>
      </w:pPr>
      <w:rPr>
        <w:rFonts w:hint="eastAsia"/>
      </w:rPr>
    </w:lvl>
    <w:lvl w:ilvl="5">
      <w:start w:val="1"/>
      <w:numFmt w:val="decimal"/>
      <w:isLgl w:val="false"/>
      <w:suff w:val="tab"/>
      <w:lvlText w:val="%1.%2.%3.%4.%5.%6"/>
      <w:lvlJc w:val="left"/>
      <w:pPr>
        <w:pStyle w:val="1107"/>
        <w:ind w:left="680" w:hanging="680"/>
      </w:pPr>
      <w:rPr>
        <w:rFonts w:hint="eastAsia"/>
      </w:rPr>
    </w:lvl>
    <w:lvl w:ilvl="6">
      <w:start w:val="1"/>
      <w:numFmt w:val="decimal"/>
      <w:isLgl w:val="false"/>
      <w:suff w:val="tab"/>
      <w:lvlText w:val="%1.%2.%3.%4.%5.%6.%7"/>
      <w:lvlJc w:val="left"/>
      <w:pPr>
        <w:pStyle w:val="1107"/>
        <w:ind w:left="680" w:hanging="680"/>
      </w:pPr>
      <w:rPr>
        <w:rFonts w:hint="eastAsia"/>
      </w:rPr>
    </w:lvl>
    <w:lvl w:ilvl="7">
      <w:start w:val="1"/>
      <w:numFmt w:val="decimal"/>
      <w:isLgl w:val="false"/>
      <w:suff w:val="tab"/>
      <w:lvlText w:val="%1.%2.%3.%4.%5.%6.%7.%8"/>
      <w:lvlJc w:val="left"/>
      <w:pPr>
        <w:pStyle w:val="1107"/>
        <w:ind w:left="680" w:hanging="680"/>
      </w:pPr>
      <w:rPr>
        <w:rFonts w:hint="eastAsia"/>
      </w:rPr>
    </w:lvl>
    <w:lvl w:ilvl="8">
      <w:start w:val="1"/>
      <w:numFmt w:val="decimal"/>
      <w:isLgl w:val="false"/>
      <w:suff w:val="tab"/>
      <w:lvlText w:val="%1.%2.%3.%4.%5.%6.%7.%8.%9"/>
      <w:lvlJc w:val="left"/>
      <w:pPr>
        <w:pStyle w:val="1107"/>
        <w:ind w:left="680" w:hanging="680"/>
      </w:pPr>
      <w:rPr>
        <w:rFonts w:hint="eastAsia"/>
      </w:rPr>
    </w:lvl>
  </w:abstractNum>
  <w:abstractNum w:abstractNumId="9">
    <w:multiLevelType w:val="hybridMultilevel"/>
    <w:lvl w:ilvl="0">
      <w:start w:val="1"/>
      <w:numFmt w:val="decimal"/>
      <w:isLgl w:val="false"/>
      <w:suff w:val="tab"/>
      <w:lvlText w:val="%1"/>
      <w:lvlJc w:val="left"/>
      <w:pPr>
        <w:pStyle w:val="1107"/>
        <w:ind w:left="900" w:hanging="900"/>
        <w:tabs>
          <w:tab w:val="num" w:pos="900" w:leader="none"/>
        </w:tabs>
      </w:pPr>
      <w:rPr>
        <w:rFonts w:hint="eastAsia"/>
      </w:rPr>
    </w:lvl>
    <w:lvl w:ilvl="1">
      <w:start w:val="1"/>
      <w:numFmt w:val="decimal"/>
      <w:isLgl w:val="false"/>
      <w:suff w:val="tab"/>
      <w:lvlText w:val="%1.%2"/>
      <w:lvlJc w:val="left"/>
      <w:pPr>
        <w:pStyle w:val="11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7"/>
        <w:ind w:left="1980" w:hanging="900"/>
        <w:tabs>
          <w:tab w:val="num" w:pos="1980" w:leader="none"/>
        </w:tabs>
      </w:pPr>
      <w:rPr>
        <w:rFonts w:hint="eastAsia"/>
      </w:rPr>
    </w:lvl>
    <w:lvl w:ilvl="3">
      <w:start w:val="1"/>
      <w:numFmt w:val="decimal"/>
      <w:isLgl w:val="false"/>
      <w:suff w:val="tab"/>
      <w:lvlText w:val="%1.%2.%3.%4"/>
      <w:lvlJc w:val="left"/>
      <w:pPr>
        <w:pStyle w:val="1107"/>
        <w:ind w:left="900" w:hanging="900"/>
        <w:tabs>
          <w:tab w:val="num" w:pos="900" w:leader="none"/>
        </w:tabs>
      </w:pPr>
      <w:rPr>
        <w:rFonts w:hint="eastAsia"/>
      </w:rPr>
    </w:lvl>
    <w:lvl w:ilvl="4">
      <w:start w:val="1"/>
      <w:numFmt w:val="decimal"/>
      <w:isLgl w:val="false"/>
      <w:suff w:val="tab"/>
      <w:lvlText w:val="%1.%2.%3.%4.%5"/>
      <w:lvlJc w:val="left"/>
      <w:pPr>
        <w:pStyle w:val="1107"/>
        <w:ind w:left="900" w:hanging="900"/>
        <w:tabs>
          <w:tab w:val="num" w:pos="900" w:leader="none"/>
        </w:tabs>
      </w:pPr>
      <w:rPr>
        <w:rFonts w:hint="eastAsia"/>
      </w:rPr>
    </w:lvl>
    <w:lvl w:ilvl="5">
      <w:start w:val="1"/>
      <w:numFmt w:val="decimal"/>
      <w:isLgl w:val="false"/>
      <w:suff w:val="tab"/>
      <w:lvlText w:val="%1.%2.%3.%4.%5.%6"/>
      <w:lvlJc w:val="left"/>
      <w:pPr>
        <w:pStyle w:val="1107"/>
        <w:ind w:left="900" w:hanging="900"/>
        <w:tabs>
          <w:tab w:val="num" w:pos="900" w:leader="none"/>
        </w:tabs>
      </w:pPr>
      <w:rPr>
        <w:rFonts w:hint="eastAsia"/>
      </w:rPr>
    </w:lvl>
    <w:lvl w:ilvl="6">
      <w:start w:val="1"/>
      <w:numFmt w:val="decimal"/>
      <w:isLgl w:val="false"/>
      <w:suff w:val="tab"/>
      <w:lvlText w:val="%1.%2.%3.%4.%5.%6.%7"/>
      <w:lvlJc w:val="left"/>
      <w:pPr>
        <w:pStyle w:val="1107"/>
        <w:ind w:left="900" w:hanging="900"/>
        <w:tabs>
          <w:tab w:val="num" w:pos="900" w:leader="none"/>
        </w:tabs>
      </w:pPr>
      <w:rPr>
        <w:rFonts w:hint="eastAsia"/>
      </w:rPr>
    </w:lvl>
    <w:lvl w:ilvl="7">
      <w:start w:val="1"/>
      <w:numFmt w:val="decimal"/>
      <w:isLgl w:val="false"/>
      <w:suff w:val="tab"/>
      <w:lvlText w:val="%1.%2.%3.%4.%5.%6.%7.%8"/>
      <w:lvlJc w:val="left"/>
      <w:pPr>
        <w:pStyle w:val="1107"/>
        <w:ind w:left="900" w:hanging="900"/>
        <w:tabs>
          <w:tab w:val="num" w:pos="900" w:leader="none"/>
        </w:tabs>
      </w:pPr>
      <w:rPr>
        <w:rFonts w:hint="eastAsia"/>
      </w:rPr>
    </w:lvl>
    <w:lvl w:ilvl="8">
      <w:start w:val="1"/>
      <w:numFmt w:val="decimal"/>
      <w:isLgl w:val="false"/>
      <w:suff w:val="tab"/>
      <w:lvlText w:val="%1.%2.%3.%4.%5.%6.%7.%8.%9"/>
      <w:lvlJc w:val="left"/>
      <w:pPr>
        <w:pStyle w:val="110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07"/>
        <w:ind w:left="900" w:hanging="900"/>
        <w:tabs>
          <w:tab w:val="num" w:pos="900" w:leader="none"/>
        </w:tabs>
      </w:pPr>
      <w:rPr>
        <w:rFonts w:hint="eastAsia"/>
      </w:rPr>
    </w:lvl>
    <w:lvl w:ilvl="1">
      <w:start w:val="1"/>
      <w:numFmt w:val="decimal"/>
      <w:isLgl w:val="false"/>
      <w:suff w:val="tab"/>
      <w:lvlText w:val="%1.%2"/>
      <w:lvlJc w:val="left"/>
      <w:pPr>
        <w:pStyle w:val="11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7"/>
        <w:ind w:left="1980" w:hanging="900"/>
        <w:tabs>
          <w:tab w:val="num" w:pos="1980" w:leader="none"/>
        </w:tabs>
      </w:pPr>
      <w:rPr>
        <w:rFonts w:hint="eastAsia"/>
      </w:rPr>
    </w:lvl>
    <w:lvl w:ilvl="3">
      <w:start w:val="1"/>
      <w:numFmt w:val="decimal"/>
      <w:isLgl w:val="false"/>
      <w:suff w:val="tab"/>
      <w:lvlText w:val="%1.%2.%3.%4"/>
      <w:lvlJc w:val="left"/>
      <w:pPr>
        <w:pStyle w:val="1107"/>
        <w:ind w:left="900" w:hanging="900"/>
        <w:tabs>
          <w:tab w:val="num" w:pos="900" w:leader="none"/>
        </w:tabs>
      </w:pPr>
      <w:rPr>
        <w:rFonts w:hint="eastAsia"/>
      </w:rPr>
    </w:lvl>
    <w:lvl w:ilvl="4">
      <w:start w:val="1"/>
      <w:numFmt w:val="decimal"/>
      <w:isLgl w:val="false"/>
      <w:suff w:val="tab"/>
      <w:lvlText w:val="%1.%2.%3.%4.%5"/>
      <w:lvlJc w:val="left"/>
      <w:pPr>
        <w:pStyle w:val="1107"/>
        <w:ind w:left="900" w:hanging="900"/>
        <w:tabs>
          <w:tab w:val="num" w:pos="900" w:leader="none"/>
        </w:tabs>
      </w:pPr>
      <w:rPr>
        <w:rFonts w:hint="eastAsia"/>
      </w:rPr>
    </w:lvl>
    <w:lvl w:ilvl="5">
      <w:start w:val="1"/>
      <w:numFmt w:val="decimal"/>
      <w:isLgl w:val="false"/>
      <w:suff w:val="tab"/>
      <w:lvlText w:val="%1.%2.%3.%4.%5.%6"/>
      <w:lvlJc w:val="left"/>
      <w:pPr>
        <w:pStyle w:val="1107"/>
        <w:ind w:left="900" w:hanging="900"/>
        <w:tabs>
          <w:tab w:val="num" w:pos="900" w:leader="none"/>
        </w:tabs>
      </w:pPr>
      <w:rPr>
        <w:rFonts w:hint="eastAsia"/>
      </w:rPr>
    </w:lvl>
    <w:lvl w:ilvl="6">
      <w:start w:val="1"/>
      <w:numFmt w:val="decimal"/>
      <w:isLgl w:val="false"/>
      <w:suff w:val="tab"/>
      <w:lvlText w:val="%1.%2.%3.%4.%5.%6.%7"/>
      <w:lvlJc w:val="left"/>
      <w:pPr>
        <w:pStyle w:val="1107"/>
        <w:ind w:left="900" w:hanging="900"/>
        <w:tabs>
          <w:tab w:val="num" w:pos="900" w:leader="none"/>
        </w:tabs>
      </w:pPr>
      <w:rPr>
        <w:rFonts w:hint="eastAsia"/>
      </w:rPr>
    </w:lvl>
    <w:lvl w:ilvl="7">
      <w:start w:val="1"/>
      <w:numFmt w:val="decimal"/>
      <w:isLgl w:val="false"/>
      <w:suff w:val="tab"/>
      <w:lvlText w:val="%1.%2.%3.%4.%5.%6.%7.%8"/>
      <w:lvlJc w:val="left"/>
      <w:pPr>
        <w:pStyle w:val="1107"/>
        <w:ind w:left="900" w:hanging="900"/>
        <w:tabs>
          <w:tab w:val="num" w:pos="900" w:leader="none"/>
        </w:tabs>
      </w:pPr>
      <w:rPr>
        <w:rFonts w:hint="eastAsia"/>
      </w:rPr>
    </w:lvl>
    <w:lvl w:ilvl="8">
      <w:start w:val="1"/>
      <w:numFmt w:val="decimal"/>
      <w:isLgl w:val="false"/>
      <w:suff w:val="tab"/>
      <w:lvlText w:val="%1.%2.%3.%4.%5.%6.%7.%8.%9"/>
      <w:lvlJc w:val="left"/>
      <w:pPr>
        <w:pStyle w:val="1107"/>
        <w:ind w:left="900" w:hanging="900"/>
        <w:tabs>
          <w:tab w:val="num" w:pos="900" w:leader="none"/>
        </w:tabs>
      </w:pPr>
      <w:rPr>
        <w:rFonts w:hint="eastAsia"/>
      </w:rPr>
    </w:lvl>
  </w:abstractNum>
  <w:abstractNum w:abstractNumId="11">
    <w:multiLevelType w:val="hybridMultilevel"/>
    <w:lvl w:ilvl="0">
      <w:start w:val="2"/>
      <w:numFmt w:val="chineseCounting"/>
      <w:isLgl w:val="false"/>
      <w:suff w:val="nothing"/>
      <w:lvlText w:val="%1、"/>
      <w:lvlJc w:val="left"/>
      <w:pPr>
        <w:pStyle w:val="11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07"/>
        <w:ind w:left="900" w:hanging="900"/>
        <w:tabs>
          <w:tab w:val="num" w:pos="900" w:leader="none"/>
        </w:tabs>
      </w:pPr>
      <w:rPr>
        <w:rFonts w:hint="eastAsia"/>
      </w:rPr>
    </w:lvl>
    <w:lvl w:ilvl="1">
      <w:start w:val="1"/>
      <w:numFmt w:val="decimal"/>
      <w:isLgl w:val="false"/>
      <w:suff w:val="tab"/>
      <w:lvlText w:val="%1.%2"/>
      <w:lvlJc w:val="left"/>
      <w:pPr>
        <w:pStyle w:val="11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7"/>
        <w:ind w:left="1980" w:hanging="900"/>
        <w:tabs>
          <w:tab w:val="num" w:pos="1980" w:leader="none"/>
        </w:tabs>
      </w:pPr>
      <w:rPr>
        <w:rFonts w:hint="eastAsia"/>
      </w:rPr>
    </w:lvl>
    <w:lvl w:ilvl="3">
      <w:start w:val="1"/>
      <w:numFmt w:val="decimal"/>
      <w:isLgl w:val="false"/>
      <w:suff w:val="tab"/>
      <w:lvlText w:val="%1.%2.%3.%4"/>
      <w:lvlJc w:val="left"/>
      <w:pPr>
        <w:pStyle w:val="1107"/>
        <w:ind w:left="900" w:hanging="900"/>
        <w:tabs>
          <w:tab w:val="num" w:pos="900" w:leader="none"/>
        </w:tabs>
      </w:pPr>
      <w:rPr>
        <w:rFonts w:hint="eastAsia"/>
      </w:rPr>
    </w:lvl>
    <w:lvl w:ilvl="4">
      <w:start w:val="1"/>
      <w:numFmt w:val="decimal"/>
      <w:isLgl w:val="false"/>
      <w:suff w:val="tab"/>
      <w:lvlText w:val="%1.%2.%3.%4.%5"/>
      <w:lvlJc w:val="left"/>
      <w:pPr>
        <w:pStyle w:val="1107"/>
        <w:ind w:left="900" w:hanging="900"/>
        <w:tabs>
          <w:tab w:val="num" w:pos="900" w:leader="none"/>
        </w:tabs>
      </w:pPr>
      <w:rPr>
        <w:rFonts w:hint="eastAsia"/>
      </w:rPr>
    </w:lvl>
    <w:lvl w:ilvl="5">
      <w:start w:val="1"/>
      <w:numFmt w:val="decimal"/>
      <w:isLgl w:val="false"/>
      <w:suff w:val="tab"/>
      <w:lvlText w:val="%1.%2.%3.%4.%5.%6"/>
      <w:lvlJc w:val="left"/>
      <w:pPr>
        <w:pStyle w:val="1107"/>
        <w:ind w:left="900" w:hanging="900"/>
        <w:tabs>
          <w:tab w:val="num" w:pos="900" w:leader="none"/>
        </w:tabs>
      </w:pPr>
      <w:rPr>
        <w:rFonts w:hint="eastAsia"/>
      </w:rPr>
    </w:lvl>
    <w:lvl w:ilvl="6">
      <w:start w:val="1"/>
      <w:numFmt w:val="decimal"/>
      <w:isLgl w:val="false"/>
      <w:suff w:val="tab"/>
      <w:lvlText w:val="%1.%2.%3.%4.%5.%6.%7"/>
      <w:lvlJc w:val="left"/>
      <w:pPr>
        <w:pStyle w:val="1107"/>
        <w:ind w:left="900" w:hanging="900"/>
        <w:tabs>
          <w:tab w:val="num" w:pos="900" w:leader="none"/>
        </w:tabs>
      </w:pPr>
      <w:rPr>
        <w:rFonts w:hint="eastAsia"/>
      </w:rPr>
    </w:lvl>
    <w:lvl w:ilvl="7">
      <w:start w:val="1"/>
      <w:numFmt w:val="decimal"/>
      <w:isLgl w:val="false"/>
      <w:suff w:val="tab"/>
      <w:lvlText w:val="%1.%2.%3.%4.%5.%6.%7.%8"/>
      <w:lvlJc w:val="left"/>
      <w:pPr>
        <w:pStyle w:val="1107"/>
        <w:ind w:left="900" w:hanging="900"/>
        <w:tabs>
          <w:tab w:val="num" w:pos="900" w:leader="none"/>
        </w:tabs>
      </w:pPr>
      <w:rPr>
        <w:rFonts w:hint="eastAsia"/>
      </w:rPr>
    </w:lvl>
    <w:lvl w:ilvl="8">
      <w:start w:val="1"/>
      <w:numFmt w:val="decimal"/>
      <w:isLgl w:val="false"/>
      <w:suff w:val="tab"/>
      <w:lvlText w:val="%1.%2.%3.%4.%5.%6.%7.%8.%9"/>
      <w:lvlJc w:val="left"/>
      <w:pPr>
        <w:pStyle w:val="1107"/>
        <w:ind w:left="900" w:hanging="900"/>
        <w:tabs>
          <w:tab w:val="num" w:pos="900" w:leader="none"/>
        </w:tabs>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07"/>
    <w:next w:val="11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107"/>
    <w:next w:val="11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07"/>
    <w:next w:val="11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107"/>
    <w:next w:val="11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107"/>
    <w:next w:val="11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07"/>
    <w:next w:val="11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07"/>
    <w:next w:val="11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07"/>
    <w:next w:val="11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07"/>
    <w:next w:val="11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1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107"/>
    <w:next w:val="11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07"/>
    <w:next w:val="11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107"/>
    <w:next w:val="1107"/>
    <w:link w:val="38"/>
    <w:uiPriority w:val="29"/>
    <w:qFormat/>
    <w:pPr>
      <w:ind w:left="720" w:right="720"/>
    </w:pPr>
    <w:rPr>
      <w:i/>
    </w:rPr>
  </w:style>
  <w:style w:type="character" w:styleId="38">
    <w:name w:val="Quote Char"/>
    <w:link w:val="37"/>
    <w:uiPriority w:val="29"/>
    <w:rPr>
      <w:i/>
    </w:rPr>
  </w:style>
  <w:style w:type="paragraph" w:styleId="39">
    <w:name w:val="Intense Quote"/>
    <w:basedOn w:val="1107"/>
    <w:next w:val="11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1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07"/>
    <w:next w:val="11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07"/>
    <w:next w:val="1107"/>
    <w:uiPriority w:val="39"/>
    <w:unhideWhenUsed/>
    <w:pPr>
      <w:ind w:left="0" w:right="0" w:firstLine="0"/>
      <w:spacing w:after="57"/>
    </w:pPr>
  </w:style>
  <w:style w:type="paragraph" w:styleId="181">
    <w:name w:val="toc 2"/>
    <w:basedOn w:val="1107"/>
    <w:next w:val="1107"/>
    <w:uiPriority w:val="39"/>
    <w:unhideWhenUsed/>
    <w:pPr>
      <w:ind w:left="283" w:right="0" w:firstLine="0"/>
      <w:spacing w:after="57"/>
    </w:pPr>
  </w:style>
  <w:style w:type="paragraph" w:styleId="182">
    <w:name w:val="toc 3"/>
    <w:basedOn w:val="1107"/>
    <w:next w:val="1107"/>
    <w:uiPriority w:val="39"/>
    <w:unhideWhenUsed/>
    <w:pPr>
      <w:ind w:left="567" w:right="0" w:firstLine="0"/>
      <w:spacing w:after="57"/>
    </w:pPr>
  </w:style>
  <w:style w:type="paragraph" w:styleId="183">
    <w:name w:val="toc 4"/>
    <w:basedOn w:val="1107"/>
    <w:next w:val="1107"/>
    <w:uiPriority w:val="39"/>
    <w:unhideWhenUsed/>
    <w:pPr>
      <w:ind w:left="850" w:right="0" w:firstLine="0"/>
      <w:spacing w:after="57"/>
    </w:pPr>
  </w:style>
  <w:style w:type="paragraph" w:styleId="184">
    <w:name w:val="toc 5"/>
    <w:basedOn w:val="1107"/>
    <w:next w:val="1107"/>
    <w:uiPriority w:val="39"/>
    <w:unhideWhenUsed/>
    <w:pPr>
      <w:ind w:left="1134" w:right="0" w:firstLine="0"/>
      <w:spacing w:after="57"/>
    </w:pPr>
  </w:style>
  <w:style w:type="paragraph" w:styleId="185">
    <w:name w:val="toc 6"/>
    <w:basedOn w:val="1107"/>
    <w:next w:val="1107"/>
    <w:uiPriority w:val="39"/>
    <w:unhideWhenUsed/>
    <w:pPr>
      <w:ind w:left="1417" w:right="0" w:firstLine="0"/>
      <w:spacing w:after="57"/>
    </w:pPr>
  </w:style>
  <w:style w:type="paragraph" w:styleId="186">
    <w:name w:val="toc 7"/>
    <w:basedOn w:val="1107"/>
    <w:next w:val="1107"/>
    <w:uiPriority w:val="39"/>
    <w:unhideWhenUsed/>
    <w:pPr>
      <w:ind w:left="1701" w:right="0" w:firstLine="0"/>
      <w:spacing w:after="57"/>
    </w:pPr>
  </w:style>
  <w:style w:type="paragraph" w:styleId="187">
    <w:name w:val="toc 8"/>
    <w:basedOn w:val="1107"/>
    <w:next w:val="1107"/>
    <w:uiPriority w:val="39"/>
    <w:unhideWhenUsed/>
    <w:pPr>
      <w:ind w:left="1984" w:right="0" w:firstLine="0"/>
      <w:spacing w:after="57"/>
    </w:pPr>
  </w:style>
  <w:style w:type="paragraph" w:styleId="188">
    <w:name w:val="toc 9"/>
    <w:basedOn w:val="1107"/>
    <w:next w:val="11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07"/>
    <w:next w:val="1107"/>
    <w:uiPriority w:val="99"/>
    <w:unhideWhenUsed/>
    <w:pPr>
      <w:spacing w:after="0" w:afterAutospacing="0"/>
    </w:pPr>
  </w:style>
  <w:style w:type="paragraph" w:styleId="1107" w:default="1">
    <w:name w:val="Normal"/>
    <w:next w:val="1107"/>
    <w:link w:val="1107"/>
    <w:qFormat/>
    <w:pPr>
      <w:jc w:val="both"/>
      <w:widowControl w:val="off"/>
    </w:pPr>
    <w:rPr>
      <w:sz w:val="21"/>
      <w:szCs w:val="24"/>
      <w:lang w:val="en-US" w:eastAsia="zh-CN" w:bidi="ar-SA"/>
    </w:rPr>
  </w:style>
  <w:style w:type="paragraph" w:styleId="1108">
    <w:name w:val="标题 1"/>
    <w:basedOn w:val="1107"/>
    <w:next w:val="1107"/>
    <w:link w:val="1119"/>
    <w:qFormat/>
    <w:pPr>
      <w:jc w:val="center"/>
      <w:keepLines/>
      <w:keepNext/>
      <w:spacing w:before="240" w:after="120" w:line="300" w:lineRule="auto"/>
      <w:outlineLvl w:val="0"/>
    </w:pPr>
    <w:rPr>
      <w:rFonts w:ascii="宋体"/>
      <w:b/>
      <w:sz w:val="32"/>
      <w:szCs w:val="20"/>
    </w:rPr>
  </w:style>
  <w:style w:type="paragraph" w:styleId="1109">
    <w:name w:val="标题 2"/>
    <w:basedOn w:val="1107"/>
    <w:next w:val="1121"/>
    <w:link w:val="1120"/>
    <w:qFormat/>
    <w:pPr>
      <w:jc w:val="center"/>
      <w:keepLines/>
      <w:keepNext/>
      <w:spacing w:before="120" w:line="300" w:lineRule="auto"/>
      <w:outlineLvl w:val="1"/>
    </w:pPr>
    <w:rPr>
      <w:rFonts w:ascii="Arial" w:hAnsi="Arial" w:eastAsia="黑体"/>
      <w:b/>
      <w:sz w:val="30"/>
      <w:szCs w:val="20"/>
    </w:rPr>
  </w:style>
  <w:style w:type="paragraph" w:styleId="1110">
    <w:name w:val="标题 3"/>
    <w:basedOn w:val="1107"/>
    <w:next w:val="1107"/>
    <w:link w:val="1127"/>
    <w:qFormat/>
    <w:pPr>
      <w:jc w:val="left"/>
      <w:keepLines/>
      <w:keepNext/>
      <w:spacing w:before="360" w:after="120"/>
      <w:outlineLvl w:val="2"/>
    </w:pPr>
    <w:rPr>
      <w:rFonts w:ascii="宋体"/>
      <w:b/>
      <w:sz w:val="24"/>
      <w:szCs w:val="20"/>
      <w:u w:val="single"/>
    </w:rPr>
  </w:style>
  <w:style w:type="paragraph" w:styleId="1111">
    <w:name w:val="标题 4"/>
    <w:basedOn w:val="1107"/>
    <w:next w:val="1121"/>
    <w:link w:val="1128"/>
    <w:qFormat/>
    <w:pPr>
      <w:keepLines/>
      <w:keepNext/>
      <w:spacing w:before="280" w:after="290" w:line="376" w:lineRule="atLeast"/>
      <w:outlineLvl w:val="3"/>
    </w:pPr>
    <w:rPr>
      <w:rFonts w:ascii="Arial" w:hAnsi="Arial" w:eastAsia="黑体"/>
      <w:b/>
      <w:sz w:val="28"/>
      <w:szCs w:val="20"/>
    </w:rPr>
  </w:style>
  <w:style w:type="paragraph" w:styleId="1112">
    <w:name w:val="标题 5"/>
    <w:basedOn w:val="1107"/>
    <w:next w:val="1107"/>
    <w:link w:val="1129"/>
    <w:qFormat/>
    <w:pPr>
      <w:keepLines/>
      <w:keepNext/>
      <w:spacing w:before="280" w:after="290" w:line="376" w:lineRule="atLeast"/>
      <w:outlineLvl w:val="4"/>
    </w:pPr>
    <w:rPr>
      <w:b/>
      <w:sz w:val="28"/>
      <w:szCs w:val="20"/>
    </w:rPr>
  </w:style>
  <w:style w:type="paragraph" w:styleId="1113">
    <w:name w:val="标题 6"/>
    <w:basedOn w:val="1107"/>
    <w:next w:val="1107"/>
    <w:link w:val="1130"/>
    <w:qFormat/>
    <w:pPr>
      <w:keepLines/>
      <w:keepNext/>
      <w:spacing w:before="240" w:after="64" w:line="320" w:lineRule="atLeast"/>
      <w:outlineLvl w:val="5"/>
    </w:pPr>
    <w:rPr>
      <w:rFonts w:ascii="Arial" w:hAnsi="Arial" w:eastAsia="黑体"/>
      <w:b/>
      <w:sz w:val="24"/>
      <w:szCs w:val="20"/>
    </w:rPr>
  </w:style>
  <w:style w:type="paragraph" w:styleId="1114">
    <w:name w:val="标题 7"/>
    <w:basedOn w:val="1107"/>
    <w:next w:val="1107"/>
    <w:link w:val="1131"/>
    <w:qFormat/>
    <w:pPr>
      <w:keepLines/>
      <w:keepNext/>
      <w:spacing w:before="240" w:after="64" w:line="320" w:lineRule="atLeast"/>
      <w:outlineLvl w:val="6"/>
    </w:pPr>
    <w:rPr>
      <w:b/>
      <w:sz w:val="24"/>
      <w:szCs w:val="20"/>
    </w:rPr>
  </w:style>
  <w:style w:type="paragraph" w:styleId="1115">
    <w:name w:val="标题 8"/>
    <w:basedOn w:val="1107"/>
    <w:next w:val="1107"/>
    <w:link w:val="1132"/>
    <w:qFormat/>
    <w:pPr>
      <w:keepLines/>
      <w:keepNext/>
      <w:spacing w:before="240" w:after="64" w:line="320" w:lineRule="atLeast"/>
      <w:outlineLvl w:val="7"/>
    </w:pPr>
    <w:rPr>
      <w:rFonts w:ascii="Arial" w:hAnsi="Arial" w:eastAsia="黑体"/>
      <w:sz w:val="24"/>
      <w:szCs w:val="20"/>
    </w:rPr>
  </w:style>
  <w:style w:type="paragraph" w:styleId="1116">
    <w:name w:val="标题 9"/>
    <w:basedOn w:val="1107"/>
    <w:next w:val="1107"/>
    <w:link w:val="1133"/>
    <w:qFormat/>
    <w:pPr>
      <w:keepLines/>
      <w:keepNext/>
      <w:spacing w:before="240" w:after="64" w:line="320" w:lineRule="atLeast"/>
      <w:outlineLvl w:val="8"/>
    </w:pPr>
    <w:rPr>
      <w:rFonts w:ascii="Arial" w:hAnsi="Arial" w:eastAsia="黑体"/>
      <w:szCs w:val="20"/>
    </w:rPr>
  </w:style>
  <w:style w:type="character" w:styleId="1117">
    <w:name w:val="默认段落字体"/>
    <w:next w:val="1117"/>
    <w:link w:val="1107"/>
    <w:uiPriority w:val="1"/>
    <w:unhideWhenUsed/>
    <w:qFormat/>
  </w:style>
  <w:style w:type="table" w:styleId="1118">
    <w:name w:val="普通表格"/>
    <w:next w:val="1118"/>
    <w:link w:val="1107"/>
    <w:uiPriority w:val="99"/>
    <w:unhideWhenUsed/>
    <w:qFormat/>
    <w:tblPr/>
  </w:style>
  <w:style w:type="character" w:styleId="1119">
    <w:name w:val="标题 1 Char"/>
    <w:basedOn w:val="1117"/>
    <w:next w:val="1119"/>
    <w:link w:val="1108"/>
    <w:qFormat/>
    <w:rPr>
      <w:rFonts w:ascii="宋体"/>
      <w:b/>
      <w:sz w:val="32"/>
    </w:rPr>
  </w:style>
  <w:style w:type="character" w:styleId="1120">
    <w:name w:val="标题 2 Char1"/>
    <w:next w:val="1120"/>
    <w:link w:val="1109"/>
    <w:qFormat/>
    <w:rPr>
      <w:rFonts w:ascii="Arial" w:hAnsi="Arial" w:eastAsia="黑体"/>
      <w:b/>
      <w:sz w:val="30"/>
      <w:lang w:val="en-US" w:eastAsia="zh-CN" w:bidi="ar-SA"/>
    </w:rPr>
  </w:style>
  <w:style w:type="paragraph" w:styleId="1121">
    <w:name w:val="正文缩进"/>
    <w:basedOn w:val="1107"/>
    <w:next w:val="1123"/>
    <w:link w:val="1122"/>
    <w:qFormat/>
    <w:pPr>
      <w:ind w:firstLine="420"/>
      <w:jc w:val="left"/>
    </w:pPr>
    <w:rPr>
      <w:rFonts w:ascii="宋体"/>
      <w:sz w:val="24"/>
    </w:rPr>
  </w:style>
  <w:style w:type="character" w:styleId="1122">
    <w:name w:val="正文缩进 Char1"/>
    <w:next w:val="1122"/>
    <w:link w:val="1121"/>
    <w:qFormat/>
    <w:rPr>
      <w:rFonts w:ascii="宋体" w:eastAsia="宋体"/>
      <w:sz w:val="24"/>
      <w:szCs w:val="24"/>
      <w:lang w:val="en-US" w:eastAsia="zh-CN" w:bidi="ar-SA"/>
    </w:rPr>
  </w:style>
  <w:style w:type="paragraph" w:styleId="1123">
    <w:name w:val="正文首行缩进 2"/>
    <w:basedOn w:val="1124"/>
    <w:next w:val="1107"/>
    <w:link w:val="1126"/>
    <w:qFormat/>
    <w:pPr>
      <w:ind w:left="420" w:firstLine="420"/>
      <w:spacing w:after="120" w:line="480" w:lineRule="exact"/>
    </w:pPr>
    <w:rPr>
      <w:szCs w:val="20"/>
    </w:rPr>
  </w:style>
  <w:style w:type="paragraph" w:styleId="1124">
    <w:name w:val="正文文本缩进"/>
    <w:basedOn w:val="1107"/>
    <w:next w:val="1107"/>
    <w:link w:val="1125"/>
    <w:qFormat/>
    <w:pPr>
      <w:ind w:firstLine="570"/>
      <w:spacing w:line="360" w:lineRule="auto"/>
    </w:pPr>
    <w:rPr>
      <w:sz w:val="24"/>
    </w:rPr>
  </w:style>
  <w:style w:type="character" w:styleId="1125">
    <w:name w:val="正文文本缩进 Char2"/>
    <w:next w:val="1125"/>
    <w:link w:val="1124"/>
    <w:qFormat/>
    <w:rPr>
      <w:rFonts w:eastAsia="宋体"/>
      <w:sz w:val="24"/>
      <w:szCs w:val="24"/>
      <w:lang w:val="en-US" w:eastAsia="zh-CN" w:bidi="ar-SA"/>
    </w:rPr>
  </w:style>
  <w:style w:type="character" w:styleId="1126">
    <w:name w:val="正文首行缩进 2 Char"/>
    <w:basedOn w:val="1125"/>
    <w:next w:val="1126"/>
    <w:link w:val="1123"/>
    <w:qFormat/>
    <w:rPr>
      <w:rFonts w:eastAsia="宋体"/>
      <w:sz w:val="24"/>
      <w:szCs w:val="24"/>
      <w:lang w:val="en-US" w:eastAsia="zh-CN" w:bidi="ar-SA"/>
    </w:rPr>
  </w:style>
  <w:style w:type="character" w:styleId="1127">
    <w:name w:val="标题 3 Char1"/>
    <w:next w:val="1127"/>
    <w:link w:val="1110"/>
    <w:qFormat/>
    <w:rPr>
      <w:rFonts w:ascii="宋体" w:eastAsia="宋体"/>
      <w:b/>
      <w:sz w:val="24"/>
      <w:u w:val="single"/>
      <w:lang w:val="en-US" w:eastAsia="zh-CN" w:bidi="ar-SA"/>
    </w:rPr>
  </w:style>
  <w:style w:type="character" w:styleId="1128">
    <w:name w:val="标题 4 Char"/>
    <w:basedOn w:val="1117"/>
    <w:next w:val="1128"/>
    <w:link w:val="1111"/>
    <w:qFormat/>
    <w:rPr>
      <w:rFonts w:ascii="Arial" w:hAnsi="Arial" w:eastAsia="黑体"/>
      <w:b/>
      <w:sz w:val="28"/>
    </w:rPr>
  </w:style>
  <w:style w:type="character" w:styleId="1129">
    <w:name w:val="标题 5 Char"/>
    <w:basedOn w:val="1117"/>
    <w:next w:val="1129"/>
    <w:link w:val="1112"/>
    <w:qFormat/>
    <w:rPr>
      <w:b/>
      <w:sz w:val="28"/>
    </w:rPr>
  </w:style>
  <w:style w:type="character" w:styleId="1130">
    <w:name w:val="标题 6 Char"/>
    <w:basedOn w:val="1117"/>
    <w:next w:val="1130"/>
    <w:link w:val="1113"/>
    <w:qFormat/>
    <w:rPr>
      <w:rFonts w:ascii="Arial" w:hAnsi="Arial" w:eastAsia="黑体"/>
      <w:b/>
      <w:sz w:val="24"/>
    </w:rPr>
  </w:style>
  <w:style w:type="character" w:styleId="1131">
    <w:name w:val="标题 7 Char"/>
    <w:basedOn w:val="1117"/>
    <w:next w:val="1131"/>
    <w:link w:val="1114"/>
    <w:qFormat/>
    <w:rPr>
      <w:b/>
      <w:sz w:val="24"/>
    </w:rPr>
  </w:style>
  <w:style w:type="character" w:styleId="1132">
    <w:name w:val="标题 8 Char"/>
    <w:basedOn w:val="1117"/>
    <w:next w:val="1132"/>
    <w:link w:val="1115"/>
    <w:qFormat/>
    <w:rPr>
      <w:rFonts w:ascii="Arial" w:hAnsi="Arial" w:eastAsia="黑体"/>
      <w:sz w:val="24"/>
    </w:rPr>
  </w:style>
  <w:style w:type="character" w:styleId="1133">
    <w:name w:val="标题 9 Char"/>
    <w:basedOn w:val="1117"/>
    <w:next w:val="1133"/>
    <w:link w:val="1116"/>
    <w:qFormat/>
    <w:rPr>
      <w:rFonts w:ascii="Arial" w:hAnsi="Arial" w:eastAsia="黑体"/>
      <w:sz w:val="21"/>
    </w:rPr>
  </w:style>
  <w:style w:type="paragraph" w:styleId="1134">
    <w:name w:val="目录 7"/>
    <w:basedOn w:val="1107"/>
    <w:next w:val="1107"/>
    <w:link w:val="1107"/>
    <w:qFormat/>
    <w:pPr>
      <w:ind w:left="2520"/>
    </w:pPr>
  </w:style>
  <w:style w:type="paragraph" w:styleId="1135">
    <w:name w:val="题注"/>
    <w:basedOn w:val="1107"/>
    <w:next w:val="1107"/>
    <w:link w:val="1107"/>
    <w:qFormat/>
    <w:pPr>
      <w:spacing w:line="480" w:lineRule="auto"/>
    </w:pPr>
    <w:rPr>
      <w:rFonts w:ascii="华文中宋" w:hAnsi="华文中宋" w:eastAsia="华文中宋"/>
      <w:sz w:val="36"/>
      <w:szCs w:val="20"/>
    </w:rPr>
  </w:style>
  <w:style w:type="paragraph" w:styleId="1136">
    <w:name w:val="索引 5"/>
    <w:basedOn w:val="1107"/>
    <w:next w:val="1107"/>
    <w:link w:val="1107"/>
    <w:uiPriority w:val="99"/>
    <w:unhideWhenUsed/>
    <w:qFormat/>
    <w:pPr>
      <w:ind w:left="800"/>
    </w:pPr>
  </w:style>
  <w:style w:type="paragraph" w:styleId="1137">
    <w:name w:val="文档结构图"/>
    <w:basedOn w:val="1107"/>
    <w:next w:val="1137"/>
    <w:link w:val="1138"/>
    <w:qFormat/>
    <w:pPr>
      <w:shd w:val="clear" w:color="auto" w:fill="000080"/>
    </w:pPr>
  </w:style>
  <w:style w:type="character" w:styleId="1138">
    <w:name w:val="文档结构图 Char"/>
    <w:basedOn w:val="1117"/>
    <w:next w:val="1138"/>
    <w:link w:val="1137"/>
    <w:qFormat/>
    <w:rPr>
      <w:sz w:val="21"/>
      <w:szCs w:val="24"/>
      <w:shd w:val="clear" w:color="auto" w:fill="000080"/>
    </w:rPr>
  </w:style>
  <w:style w:type="paragraph" w:styleId="1139">
    <w:name w:val="批注文字"/>
    <w:basedOn w:val="1107"/>
    <w:next w:val="1139"/>
    <w:link w:val="1140"/>
    <w:uiPriority w:val="99"/>
    <w:qFormat/>
    <w:pPr>
      <w:jc w:val="left"/>
    </w:pPr>
  </w:style>
  <w:style w:type="character" w:styleId="1140">
    <w:name w:val="批注文字 Char1"/>
    <w:next w:val="1140"/>
    <w:link w:val="1139"/>
    <w:uiPriority w:val="99"/>
    <w:qFormat/>
    <w:rPr>
      <w:sz w:val="21"/>
      <w:szCs w:val="24"/>
    </w:rPr>
  </w:style>
  <w:style w:type="paragraph" w:styleId="1141">
    <w:name w:val="正文文本 3"/>
    <w:basedOn w:val="1107"/>
    <w:next w:val="1141"/>
    <w:link w:val="1142"/>
    <w:qFormat/>
    <w:pPr>
      <w:spacing w:after="120"/>
    </w:pPr>
    <w:rPr>
      <w:sz w:val="16"/>
      <w:szCs w:val="16"/>
    </w:rPr>
  </w:style>
  <w:style w:type="character" w:styleId="1142">
    <w:name w:val="正文文本 3 Char"/>
    <w:basedOn w:val="1117"/>
    <w:next w:val="1142"/>
    <w:link w:val="1141"/>
    <w:qFormat/>
    <w:rPr>
      <w:sz w:val="16"/>
      <w:szCs w:val="16"/>
    </w:rPr>
  </w:style>
  <w:style w:type="paragraph" w:styleId="1143">
    <w:name w:val="正文文本"/>
    <w:basedOn w:val="1107"/>
    <w:next w:val="1107"/>
    <w:link w:val="1144"/>
    <w:qFormat/>
    <w:pPr>
      <w:spacing w:before="120" w:line="22" w:lineRule="atLeast"/>
      <w:tabs>
        <w:tab w:val="left" w:pos="567" w:leader="none"/>
      </w:tabs>
    </w:pPr>
    <w:rPr>
      <w:rFonts w:ascii="宋体" w:hAnsi="宋体"/>
      <w:sz w:val="24"/>
    </w:rPr>
  </w:style>
  <w:style w:type="character" w:styleId="1144">
    <w:name w:val="正文文本 Char"/>
    <w:basedOn w:val="1117"/>
    <w:next w:val="1144"/>
    <w:link w:val="1143"/>
    <w:qFormat/>
    <w:rPr>
      <w:rFonts w:ascii="宋体" w:hAnsi="宋体"/>
      <w:sz w:val="24"/>
      <w:szCs w:val="24"/>
    </w:rPr>
  </w:style>
  <w:style w:type="paragraph" w:styleId="1145">
    <w:name w:val="列表 2"/>
    <w:basedOn w:val="1107"/>
    <w:next w:val="1145"/>
    <w:link w:val="1107"/>
    <w:qFormat/>
    <w:pPr>
      <w:ind w:left="100" w:hanging="200"/>
    </w:pPr>
  </w:style>
  <w:style w:type="paragraph" w:styleId="1146">
    <w:name w:val="文本块"/>
    <w:basedOn w:val="1107"/>
    <w:next w:val="1146"/>
    <w:link w:val="1107"/>
    <w:qFormat/>
    <w:pPr>
      <w:ind w:left="480" w:right="-341" w:firstLine="513"/>
      <w:widowControl/>
    </w:pPr>
    <w:rPr>
      <w:sz w:val="24"/>
      <w:szCs w:val="20"/>
    </w:rPr>
  </w:style>
  <w:style w:type="paragraph" w:styleId="1147">
    <w:name w:val="目录 5"/>
    <w:basedOn w:val="1107"/>
    <w:next w:val="1107"/>
    <w:link w:val="1107"/>
    <w:qFormat/>
    <w:pPr>
      <w:ind w:left="1680"/>
    </w:pPr>
  </w:style>
  <w:style w:type="paragraph" w:styleId="1148">
    <w:name w:val="目录 3"/>
    <w:basedOn w:val="1107"/>
    <w:next w:val="1107"/>
    <w:link w:val="1107"/>
    <w:uiPriority w:val="39"/>
    <w:qFormat/>
    <w:pPr>
      <w:ind w:left="840"/>
    </w:pPr>
  </w:style>
  <w:style w:type="paragraph" w:styleId="1149">
    <w:name w:val="纯文本"/>
    <w:basedOn w:val="1107"/>
    <w:next w:val="1121"/>
    <w:link w:val="1150"/>
    <w:qFormat/>
    <w:rPr>
      <w:rFonts w:hint="eastAsia" w:ascii="宋体" w:hAnsi="Courier New"/>
      <w:szCs w:val="20"/>
    </w:rPr>
  </w:style>
  <w:style w:type="character" w:styleId="1150">
    <w:name w:val="纯文本 Char"/>
    <w:basedOn w:val="1117"/>
    <w:next w:val="1150"/>
    <w:link w:val="1149"/>
    <w:qFormat/>
    <w:rPr>
      <w:rFonts w:hint="eastAsia" w:ascii="宋体" w:hAnsi="Courier New" w:eastAsia="宋体" w:cs="宋体"/>
      <w:sz w:val="21"/>
    </w:rPr>
  </w:style>
  <w:style w:type="paragraph" w:styleId="1151">
    <w:name w:val="目录 8"/>
    <w:basedOn w:val="1107"/>
    <w:next w:val="1107"/>
    <w:link w:val="1107"/>
    <w:qFormat/>
    <w:pPr>
      <w:ind w:left="2940"/>
    </w:pPr>
  </w:style>
  <w:style w:type="paragraph" w:styleId="1152">
    <w:name w:val="日期"/>
    <w:basedOn w:val="1107"/>
    <w:next w:val="1107"/>
    <w:link w:val="1153"/>
    <w:qFormat/>
    <w:pPr>
      <w:ind w:left="100"/>
    </w:pPr>
    <w:rPr>
      <w:rFonts w:ascii="仿宋_GB2312" w:hAnsi="宋体" w:eastAsia="仿宋_GB2312"/>
      <w:color w:val="000000"/>
      <w:sz w:val="24"/>
    </w:rPr>
  </w:style>
  <w:style w:type="character" w:styleId="1153">
    <w:name w:val="日期 Char"/>
    <w:basedOn w:val="1117"/>
    <w:next w:val="1153"/>
    <w:link w:val="1152"/>
    <w:qFormat/>
    <w:rPr>
      <w:rFonts w:ascii="仿宋_GB2312" w:hAnsi="宋体" w:eastAsia="仿宋_GB2312"/>
      <w:color w:val="000000"/>
      <w:sz w:val="24"/>
      <w:szCs w:val="24"/>
    </w:rPr>
  </w:style>
  <w:style w:type="paragraph" w:styleId="1154">
    <w:name w:val="正文文本缩进 2"/>
    <w:basedOn w:val="1107"/>
    <w:next w:val="1154"/>
    <w:link w:val="1155"/>
    <w:qFormat/>
    <w:pPr>
      <w:ind w:firstLine="480"/>
    </w:pPr>
    <w:rPr>
      <w:rFonts w:ascii="仿宋_GB2312" w:eastAsia="仿宋_GB2312"/>
      <w:sz w:val="24"/>
    </w:rPr>
  </w:style>
  <w:style w:type="character" w:styleId="1155">
    <w:name w:val="正文文本缩进 2 Char"/>
    <w:basedOn w:val="1117"/>
    <w:next w:val="1155"/>
    <w:link w:val="1154"/>
    <w:qFormat/>
    <w:rPr>
      <w:rFonts w:ascii="仿宋_GB2312" w:eastAsia="仿宋_GB2312"/>
      <w:sz w:val="24"/>
      <w:szCs w:val="24"/>
    </w:rPr>
  </w:style>
  <w:style w:type="paragraph" w:styleId="1156">
    <w:name w:val="批注框文本"/>
    <w:basedOn w:val="1107"/>
    <w:next w:val="1156"/>
    <w:link w:val="1157"/>
    <w:qFormat/>
    <w:rPr>
      <w:sz w:val="18"/>
      <w:szCs w:val="18"/>
    </w:rPr>
  </w:style>
  <w:style w:type="character" w:styleId="1157">
    <w:name w:val="批注框文本 Char"/>
    <w:basedOn w:val="1117"/>
    <w:next w:val="1157"/>
    <w:link w:val="1156"/>
    <w:qFormat/>
    <w:rPr>
      <w:sz w:val="18"/>
      <w:szCs w:val="18"/>
    </w:rPr>
  </w:style>
  <w:style w:type="paragraph" w:styleId="1158">
    <w:name w:val="页脚"/>
    <w:basedOn w:val="1107"/>
    <w:next w:val="1158"/>
    <w:link w:val="1159"/>
    <w:uiPriority w:val="99"/>
    <w:qFormat/>
    <w:pPr>
      <w:jc w:val="left"/>
      <w:tabs>
        <w:tab w:val="center" w:pos="4153" w:leader="none"/>
        <w:tab w:val="right" w:pos="8306" w:leader="none"/>
      </w:tabs>
    </w:pPr>
    <w:rPr>
      <w:rFonts w:ascii="宋体"/>
      <w:sz w:val="18"/>
      <w:szCs w:val="20"/>
    </w:rPr>
  </w:style>
  <w:style w:type="character" w:styleId="1159">
    <w:name w:val="页脚 Char1"/>
    <w:next w:val="1159"/>
    <w:link w:val="1158"/>
    <w:uiPriority w:val="99"/>
    <w:qFormat/>
    <w:rPr>
      <w:rFonts w:ascii="宋体" w:eastAsia="宋体"/>
      <w:sz w:val="18"/>
      <w:lang w:val="en-US" w:eastAsia="zh-CN" w:bidi="ar-SA"/>
    </w:rPr>
  </w:style>
  <w:style w:type="paragraph" w:styleId="1160">
    <w:name w:val="寄信人地址"/>
    <w:basedOn w:val="1107"/>
    <w:next w:val="1160"/>
    <w:link w:val="1107"/>
    <w:qFormat/>
    <w:rPr>
      <w:rFonts w:ascii="Arial" w:hAnsi="Arial"/>
    </w:rPr>
  </w:style>
  <w:style w:type="paragraph" w:styleId="1161">
    <w:name w:val="页眉"/>
    <w:basedOn w:val="1107"/>
    <w:next w:val="1161"/>
    <w:link w:val="1162"/>
    <w:qFormat/>
    <w:pPr>
      <w:jc w:val="center"/>
      <w:tabs>
        <w:tab w:val="center" w:pos="4153" w:leader="none"/>
        <w:tab w:val="right" w:pos="8306" w:leader="none"/>
      </w:tabs>
      <w:pBdr>
        <w:bottom w:val="single" w:color="000000" w:sz="6" w:space="1"/>
      </w:pBdr>
    </w:pPr>
    <w:rPr>
      <w:sz w:val="18"/>
      <w:szCs w:val="18"/>
    </w:rPr>
  </w:style>
  <w:style w:type="character" w:styleId="1162">
    <w:name w:val="页眉 Char1"/>
    <w:next w:val="1162"/>
    <w:link w:val="1161"/>
    <w:qFormat/>
    <w:rPr>
      <w:rFonts w:eastAsia="宋体"/>
      <w:sz w:val="18"/>
      <w:szCs w:val="18"/>
      <w:lang w:val="en-US" w:eastAsia="zh-CN" w:bidi="ar-SA"/>
    </w:rPr>
  </w:style>
  <w:style w:type="paragraph" w:styleId="1163">
    <w:name w:val="目录 1"/>
    <w:basedOn w:val="1107"/>
    <w:next w:val="1107"/>
    <w:link w:val="1107"/>
    <w:uiPriority w:val="39"/>
    <w:qFormat/>
    <w:pPr>
      <w:spacing w:line="300" w:lineRule="auto"/>
      <w:tabs>
        <w:tab w:val="left" w:pos="1050" w:leader="none"/>
        <w:tab w:val="right" w:pos="8937" w:leader="dot"/>
      </w:tabs>
    </w:pPr>
    <w:rPr>
      <w:rFonts w:ascii="宋体" w:hAnsi="宋体"/>
      <w:b/>
      <w:sz w:val="24"/>
    </w:rPr>
  </w:style>
  <w:style w:type="paragraph" w:styleId="1164">
    <w:name w:val="目录 4"/>
    <w:basedOn w:val="1107"/>
    <w:next w:val="1107"/>
    <w:link w:val="1107"/>
    <w:qFormat/>
    <w:pPr>
      <w:ind w:left="1260"/>
    </w:pPr>
  </w:style>
  <w:style w:type="paragraph" w:styleId="1165">
    <w:name w:val="副标题"/>
    <w:basedOn w:val="1107"/>
    <w:next w:val="1107"/>
    <w:link w:val="1107"/>
    <w:qFormat/>
    <w:pPr>
      <w:jc w:val="center"/>
      <w:spacing w:before="240" w:after="60" w:line="312" w:lineRule="auto"/>
      <w:outlineLvl w:val="1"/>
    </w:pPr>
    <w:rPr>
      <w:rFonts w:ascii="Arial" w:hAnsi="Arial" w:cs="Arial"/>
      <w:b/>
      <w:bCs/>
      <w:sz w:val="32"/>
      <w:szCs w:val="32"/>
    </w:rPr>
  </w:style>
  <w:style w:type="paragraph" w:styleId="1166">
    <w:name w:val="脚注文本"/>
    <w:basedOn w:val="1107"/>
    <w:next w:val="1136"/>
    <w:link w:val="1107"/>
    <w:qFormat/>
    <w:pPr>
      <w:ind w:firstLine="425"/>
      <w:jc w:val="left"/>
      <w:spacing w:before="120" w:line="360" w:lineRule="auto"/>
    </w:pPr>
    <w:rPr>
      <w:sz w:val="18"/>
      <w:szCs w:val="20"/>
    </w:rPr>
  </w:style>
  <w:style w:type="paragraph" w:styleId="1167">
    <w:name w:val="目录 6"/>
    <w:basedOn w:val="1107"/>
    <w:next w:val="1107"/>
    <w:link w:val="1107"/>
    <w:qFormat/>
    <w:pPr>
      <w:ind w:left="2100"/>
    </w:pPr>
  </w:style>
  <w:style w:type="paragraph" w:styleId="1168">
    <w:name w:val="正文文本缩进 3"/>
    <w:basedOn w:val="1107"/>
    <w:next w:val="1168"/>
    <w:link w:val="1169"/>
    <w:qFormat/>
    <w:pPr>
      <w:ind w:left="720" w:firstLine="480"/>
      <w:jc w:val="left"/>
      <w:spacing w:before="120" w:line="22" w:lineRule="atLeast"/>
    </w:pPr>
    <w:rPr>
      <w:rFonts w:ascii="宋体"/>
      <w:sz w:val="24"/>
      <w:szCs w:val="20"/>
    </w:rPr>
  </w:style>
  <w:style w:type="character" w:styleId="1169">
    <w:name w:val="正文文本缩进 3 Char"/>
    <w:basedOn w:val="1117"/>
    <w:next w:val="1169"/>
    <w:link w:val="1168"/>
    <w:qFormat/>
    <w:rPr>
      <w:rFonts w:ascii="宋体"/>
      <w:sz w:val="24"/>
    </w:rPr>
  </w:style>
  <w:style w:type="paragraph" w:styleId="1170">
    <w:name w:val="目录 2"/>
    <w:basedOn w:val="1107"/>
    <w:next w:val="1107"/>
    <w:link w:val="1107"/>
    <w:uiPriority w:val="39"/>
    <w:qFormat/>
    <w:pPr>
      <w:ind w:left="420"/>
      <w:spacing w:line="312" w:lineRule="auto"/>
      <w:tabs>
        <w:tab w:val="right" w:pos="8937" w:leader="dot"/>
      </w:tabs>
    </w:pPr>
  </w:style>
  <w:style w:type="paragraph" w:styleId="1171">
    <w:name w:val="目录 9"/>
    <w:basedOn w:val="1107"/>
    <w:next w:val="1107"/>
    <w:link w:val="1107"/>
    <w:qFormat/>
    <w:pPr>
      <w:ind w:left="3360"/>
    </w:pPr>
  </w:style>
  <w:style w:type="paragraph" w:styleId="1172">
    <w:name w:val="HTML 预设格式"/>
    <w:basedOn w:val="1107"/>
    <w:next w:val="1172"/>
    <w:link w:val="11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3">
    <w:name w:val="HTML 预设格式 Char"/>
    <w:basedOn w:val="1117"/>
    <w:next w:val="1173"/>
    <w:link w:val="1172"/>
    <w:qFormat/>
    <w:rPr>
      <w:rFonts w:ascii="宋体" w:hAnsi="宋体" w:cs="宋体"/>
      <w:sz w:val="24"/>
      <w:szCs w:val="24"/>
    </w:rPr>
  </w:style>
  <w:style w:type="paragraph" w:styleId="1174">
    <w:name w:val="普通(网站)"/>
    <w:basedOn w:val="1107"/>
    <w:next w:val="1174"/>
    <w:link w:val="1107"/>
    <w:uiPriority w:val="99"/>
    <w:unhideWhenUsed/>
    <w:qFormat/>
    <w:pPr>
      <w:jc w:val="left"/>
      <w:spacing w:before="100" w:beforeAutospacing="1" w:after="100" w:afterAutospacing="1"/>
      <w:widowControl/>
    </w:pPr>
    <w:rPr>
      <w:rFonts w:ascii="宋体" w:hAnsi="宋体" w:cs="宋体"/>
      <w:sz w:val="24"/>
    </w:rPr>
  </w:style>
  <w:style w:type="paragraph" w:styleId="1175">
    <w:name w:val="索引 1"/>
    <w:basedOn w:val="1107"/>
    <w:next w:val="1107"/>
    <w:link w:val="1107"/>
    <w:qFormat/>
    <w:rPr>
      <w:szCs w:val="20"/>
    </w:rPr>
  </w:style>
  <w:style w:type="paragraph" w:styleId="1176">
    <w:name w:val="标题"/>
    <w:basedOn w:val="1107"/>
    <w:next w:val="1176"/>
    <w:link w:val="1177"/>
    <w:qFormat/>
    <w:pPr>
      <w:jc w:val="center"/>
      <w:outlineLvl w:val="0"/>
    </w:pPr>
    <w:rPr>
      <w:b/>
      <w:sz w:val="32"/>
      <w:szCs w:val="20"/>
    </w:rPr>
  </w:style>
  <w:style w:type="character" w:styleId="1177">
    <w:name w:val="标题 Char1"/>
    <w:next w:val="1177"/>
    <w:link w:val="1176"/>
    <w:qFormat/>
    <w:rPr>
      <w:b/>
      <w:sz w:val="32"/>
    </w:rPr>
  </w:style>
  <w:style w:type="paragraph" w:styleId="1178">
    <w:name w:val="批注主题"/>
    <w:basedOn w:val="1139"/>
    <w:next w:val="1139"/>
    <w:link w:val="1179"/>
    <w:qFormat/>
    <w:rPr>
      <w:b/>
      <w:bCs/>
    </w:rPr>
  </w:style>
  <w:style w:type="character" w:styleId="1179">
    <w:name w:val="批注主题 Char"/>
    <w:basedOn w:val="1180"/>
    <w:next w:val="1179"/>
    <w:link w:val="1178"/>
    <w:qFormat/>
    <w:rPr>
      <w:rFonts w:ascii="Times New Roman" w:hAnsi="Times New Roman" w:eastAsia="宋体" w:cs="Times New Roman"/>
      <w:b/>
      <w:bCs/>
      <w:sz w:val="21"/>
      <w:szCs w:val="24"/>
      <w:lang w:val="en-US" w:eastAsia="zh-CN" w:bidi="ar-SA"/>
    </w:rPr>
  </w:style>
  <w:style w:type="character" w:styleId="1180">
    <w:name w:val="批注文字 字符"/>
    <w:next w:val="1180"/>
    <w:link w:val="1107"/>
    <w:uiPriority w:val="99"/>
    <w:qFormat/>
    <w:rPr>
      <w:rFonts w:ascii="Times New Roman" w:hAnsi="Times New Roman" w:eastAsia="宋体" w:cs="Times New Roman"/>
      <w:sz w:val="24"/>
      <w:lang w:val="en-US" w:eastAsia="zh-CN" w:bidi="ar-SA"/>
    </w:rPr>
  </w:style>
  <w:style w:type="table" w:styleId="1181">
    <w:name w:val="网格型"/>
    <w:basedOn w:val="1118"/>
    <w:next w:val="1181"/>
    <w:link w:val="1107"/>
    <w:uiPriority w:val="39"/>
    <w:qFormat/>
    <w:tblPr/>
  </w:style>
  <w:style w:type="table" w:styleId="1182">
    <w:name w:val="中等深浅网格 1 - 强调文字颜色 2"/>
    <w:basedOn w:val="1118"/>
    <w:next w:val="1182"/>
    <w:link w:val="1107"/>
    <w:qFormat/>
    <w:rPr>
      <w:sz w:val="21"/>
      <w:szCs w:val="24"/>
    </w:rPr>
    <w:tblPr/>
  </w:style>
  <w:style w:type="character" w:styleId="1183">
    <w:name w:val="要点"/>
    <w:next w:val="1183"/>
    <w:link w:val="1107"/>
    <w:qFormat/>
    <w:rPr>
      <w:b/>
      <w:bCs/>
    </w:rPr>
  </w:style>
  <w:style w:type="character" w:styleId="1184">
    <w:name w:val="页码"/>
    <w:basedOn w:val="1117"/>
    <w:next w:val="1184"/>
    <w:link w:val="1107"/>
    <w:qFormat/>
  </w:style>
  <w:style w:type="character" w:styleId="1185">
    <w:name w:val="已访问的超链接"/>
    <w:next w:val="1185"/>
    <w:link w:val="1107"/>
    <w:qFormat/>
    <w:rPr>
      <w:color w:val="800080"/>
      <w:u w:val="single"/>
    </w:rPr>
  </w:style>
  <w:style w:type="character" w:styleId="1186">
    <w:name w:val="强调"/>
    <w:next w:val="1186"/>
    <w:link w:val="1107"/>
    <w:qFormat/>
    <w:rPr>
      <w:color w:val="cc0033"/>
    </w:rPr>
  </w:style>
  <w:style w:type="character" w:styleId="1187">
    <w:name w:val="超链接"/>
    <w:next w:val="1187"/>
    <w:link w:val="1107"/>
    <w:uiPriority w:val="99"/>
    <w:qFormat/>
    <w:rPr>
      <w:color w:val="0000ff"/>
      <w:u w:val="single"/>
    </w:rPr>
  </w:style>
  <w:style w:type="character" w:styleId="1188">
    <w:name w:val="批注引用"/>
    <w:next w:val="1188"/>
    <w:link w:val="1107"/>
    <w:uiPriority w:val="99"/>
    <w:qFormat/>
    <w:rPr>
      <w:sz w:val="21"/>
      <w:szCs w:val="21"/>
    </w:rPr>
  </w:style>
  <w:style w:type="character" w:styleId="1189">
    <w:name w:val="HTML 引文"/>
    <w:next w:val="1189"/>
    <w:link w:val="1107"/>
    <w:qFormat/>
    <w:rPr>
      <w:i/>
      <w:iCs/>
    </w:rPr>
  </w:style>
  <w:style w:type="paragraph" w:styleId="1190">
    <w:name w:val="Default"/>
    <w:next w:val="1190"/>
    <w:link w:val="1107"/>
    <w:qFormat/>
    <w:pPr>
      <w:widowControl w:val="off"/>
    </w:pPr>
    <w:rPr>
      <w:rFonts w:ascii="Symbol" w:hAnsi="Symbol" w:cs="Symbol"/>
      <w:color w:val="000000"/>
      <w:sz w:val="24"/>
      <w:szCs w:val="24"/>
      <w:lang w:val="en-US" w:eastAsia="zh-CN" w:bidi="ar-SA"/>
    </w:rPr>
  </w:style>
  <w:style w:type="character" w:styleId="1191">
    <w:name w:val="Char Char111"/>
    <w:next w:val="1191"/>
    <w:link w:val="1107"/>
    <w:qFormat/>
    <w:rPr>
      <w:rFonts w:ascii="宋体" w:eastAsia="宋体"/>
      <w:b/>
      <w:sz w:val="24"/>
      <w:u w:val="single"/>
      <w:lang w:val="en-US" w:eastAsia="zh-CN" w:bidi="ar-SA"/>
    </w:rPr>
  </w:style>
  <w:style w:type="character" w:styleId="1192">
    <w:name w:val="bjh-p"/>
    <w:next w:val="1192"/>
    <w:link w:val="1107"/>
    <w:qFormat/>
  </w:style>
  <w:style w:type="character" w:styleId="1193">
    <w:name w:val="纯文本 字符"/>
    <w:next w:val="1193"/>
    <w:link w:val="1107"/>
    <w:uiPriority w:val="99"/>
    <w:qFormat/>
    <w:rPr>
      <w:rFonts w:ascii="宋体" w:hAnsi="Courier New" w:eastAsia="宋体" w:cs="Times New Roman"/>
      <w:sz w:val="21"/>
      <w:szCs w:val="21"/>
      <w:lang w:val="en-US" w:eastAsia="zh-CN" w:bidi="ar-SA"/>
    </w:rPr>
  </w:style>
  <w:style w:type="character" w:styleId="1194">
    <w:name w:val="正文重点 Char"/>
    <w:next w:val="1194"/>
    <w:link w:val="1195"/>
    <w:qFormat/>
    <w:rPr>
      <w:b/>
      <w:sz w:val="24"/>
    </w:rPr>
  </w:style>
  <w:style w:type="paragraph" w:styleId="1195">
    <w:name w:val="正文重点"/>
    <w:basedOn w:val="1107"/>
    <w:next w:val="1195"/>
    <w:link w:val="1194"/>
    <w:qFormat/>
    <w:pPr>
      <w:ind w:firstLine="482"/>
      <w:jc w:val="left"/>
      <w:spacing w:line="360" w:lineRule="auto"/>
    </w:pPr>
    <w:rPr>
      <w:b/>
      <w:sz w:val="24"/>
      <w:szCs w:val="20"/>
    </w:rPr>
  </w:style>
  <w:style w:type="character" w:styleId="1196">
    <w:name w:val="Char Char11"/>
    <w:next w:val="1196"/>
    <w:link w:val="1107"/>
    <w:qFormat/>
    <w:rPr>
      <w:rFonts w:ascii="宋体" w:eastAsia="宋体"/>
      <w:b/>
      <w:sz w:val="24"/>
      <w:u w:val="single"/>
      <w:lang w:val="en-US" w:eastAsia="zh-CN" w:bidi="ar-SA"/>
    </w:rPr>
  </w:style>
  <w:style w:type="character" w:styleId="1197">
    <w:name w:val="chanpin1"/>
    <w:next w:val="1197"/>
    <w:link w:val="1107"/>
    <w:qFormat/>
    <w:rPr>
      <w:rFonts w:ascii="ˎ̥" w:hAnsi="ˎ̥"/>
      <w:color w:val="000000"/>
      <w:sz w:val="20"/>
      <w:szCs w:val="20"/>
      <w:u w:val="none"/>
    </w:rPr>
  </w:style>
  <w:style w:type="character" w:styleId="1198">
    <w:name w:val="标题 Char"/>
    <w:next w:val="1198"/>
    <w:link w:val="1107"/>
    <w:qFormat/>
    <w:rPr>
      <w:b/>
      <w:sz w:val="32"/>
    </w:rPr>
  </w:style>
  <w:style w:type="character" w:styleId="1199">
    <w:name w:val="段1 Char"/>
    <w:next w:val="1199"/>
    <w:link w:val="1107"/>
    <w:qFormat/>
    <w:rPr>
      <w:rFonts w:ascii="宋体" w:eastAsia="宋体"/>
      <w:sz w:val="24"/>
      <w:lang w:val="en-US" w:eastAsia="zh-CN" w:bidi="ar-SA"/>
    </w:rPr>
  </w:style>
  <w:style w:type="character" w:styleId="1200">
    <w:name w:val="页脚 Char"/>
    <w:next w:val="1200"/>
    <w:link w:val="1107"/>
    <w:qFormat/>
    <w:rPr>
      <w:rFonts w:ascii="宋体" w:eastAsia="宋体"/>
      <w:sz w:val="18"/>
      <w:lang w:val="en-US" w:eastAsia="zh-CN" w:bidi="ar-SA"/>
    </w:rPr>
  </w:style>
  <w:style w:type="character" w:styleId="1201">
    <w:name w:val="c21"/>
    <w:next w:val="1201"/>
    <w:link w:val="1107"/>
    <w:qFormat/>
    <w:rPr>
      <w:rFonts w:ascii="ˎ̥" w:hAnsi="ˎ̥"/>
      <w:color w:val="000000"/>
      <w:sz w:val="20"/>
      <w:szCs w:val="20"/>
      <w:u w:val="none"/>
    </w:rPr>
  </w:style>
  <w:style w:type="character" w:styleId="1202">
    <w:name w:val="标题 3 Char"/>
    <w:next w:val="1202"/>
    <w:link w:val="1107"/>
    <w:qFormat/>
    <w:rPr>
      <w:rFonts w:ascii="宋体" w:eastAsia="宋体"/>
      <w:b/>
      <w:sz w:val="24"/>
      <w:u w:val="single"/>
      <w:lang w:val="en-US" w:eastAsia="zh-CN" w:bidi="ar-SA"/>
    </w:rPr>
  </w:style>
  <w:style w:type="character" w:styleId="1203">
    <w:name w:val="正文大标题 Char"/>
    <w:next w:val="1203"/>
    <w:link w:val="1204"/>
    <w:qFormat/>
    <w:rPr>
      <w:rFonts w:ascii="宋体" w:hAnsi="宋体"/>
      <w:b/>
      <w:color w:val="000000"/>
      <w:sz w:val="28"/>
      <w:szCs w:val="21"/>
    </w:rPr>
  </w:style>
  <w:style w:type="paragraph" w:styleId="1204">
    <w:name w:val="正文大标题"/>
    <w:basedOn w:val="1205"/>
    <w:next w:val="1121"/>
    <w:link w:val="1203"/>
    <w:qFormat/>
    <w:pPr>
      <w:jc w:val="center"/>
    </w:pPr>
    <w:rPr>
      <w:i w:val="0"/>
      <w:color w:val="000000"/>
      <w:sz w:val="28"/>
      <w:szCs w:val="21"/>
    </w:rPr>
  </w:style>
  <w:style w:type="paragraph" w:styleId="1205">
    <w:name w:val="正文小标题"/>
    <w:basedOn w:val="1107"/>
    <w:next w:val="1121"/>
    <w:link w:val="1206"/>
    <w:qFormat/>
    <w:pPr>
      <w:ind w:firstLine="482"/>
      <w:jc w:val="left"/>
      <w:spacing w:before="312" w:after="312"/>
    </w:pPr>
    <w:rPr>
      <w:rFonts w:ascii="宋体" w:hAnsi="宋体"/>
      <w:b/>
      <w:i/>
      <w:color w:val="ff0000"/>
      <w:sz w:val="24"/>
      <w:szCs w:val="20"/>
    </w:rPr>
  </w:style>
  <w:style w:type="character" w:styleId="1206">
    <w:name w:val="正文小标题 Char"/>
    <w:next w:val="1206"/>
    <w:link w:val="1205"/>
    <w:qFormat/>
    <w:rPr>
      <w:rFonts w:ascii="宋体" w:hAnsi="宋体"/>
      <w:b/>
      <w:i/>
      <w:color w:val="ff0000"/>
      <w:sz w:val="24"/>
    </w:rPr>
  </w:style>
  <w:style w:type="character" w:styleId="1207">
    <w:name w:val="正文格式 Char"/>
    <w:next w:val="1207"/>
    <w:link w:val="1208"/>
    <w:qFormat/>
    <w:rPr>
      <w:rFonts w:ascii="宋体" w:hAnsi="宋体"/>
      <w:sz w:val="24"/>
      <w:szCs w:val="24"/>
      <w:lang w:val="en-GB"/>
    </w:rPr>
  </w:style>
  <w:style w:type="paragraph" w:styleId="1208">
    <w:name w:val="正文格式"/>
    <w:basedOn w:val="1107"/>
    <w:next w:val="1208"/>
    <w:link w:val="1207"/>
    <w:qFormat/>
    <w:pPr>
      <w:ind w:firstLine="480"/>
      <w:spacing w:line="360" w:lineRule="auto"/>
    </w:pPr>
    <w:rPr>
      <w:rFonts w:ascii="宋体" w:hAnsi="宋体"/>
      <w:sz w:val="24"/>
      <w:lang w:val="en-GB"/>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character" w:styleId="1211">
    <w:name w:val="locality"/>
    <w:basedOn w:val="1117"/>
    <w:next w:val="1211"/>
    <w:link w:val="1107"/>
    <w:qFormat/>
  </w:style>
  <w:style w:type="character" w:styleId="1212">
    <w:name w:val="批注文字 Char"/>
    <w:next w:val="1212"/>
    <w:link w:val="1107"/>
    <w:uiPriority w:val="99"/>
    <w:qFormat/>
    <w:rPr>
      <w:sz w:val="21"/>
      <w:szCs w:val="24"/>
    </w:rPr>
  </w:style>
  <w:style w:type="character" w:styleId="1213">
    <w:name w:val="正文表格 Char"/>
    <w:next w:val="1213"/>
    <w:link w:val="1214"/>
    <w:qFormat/>
    <w:rPr>
      <w:rFonts w:ascii="宋体" w:hAnsi="宋体"/>
      <w:color w:val="000000"/>
      <w:sz w:val="21"/>
      <w:szCs w:val="21"/>
    </w:rPr>
  </w:style>
  <w:style w:type="paragraph" w:styleId="1214">
    <w:name w:val="正文表格"/>
    <w:basedOn w:val="1107"/>
    <w:next w:val="1214"/>
    <w:link w:val="1213"/>
    <w:qFormat/>
    <w:pPr>
      <w:jc w:val="left"/>
    </w:pPr>
    <w:rPr>
      <w:rFonts w:ascii="宋体" w:hAnsi="宋体"/>
      <w:color w:val="000000"/>
      <w:szCs w:val="21"/>
    </w:rPr>
  </w:style>
  <w:style w:type="character" w:styleId="1215">
    <w:name w:val="纯文本 字符1"/>
    <w:next w:val="1215"/>
    <w:link w:val="1107"/>
    <w:qFormat/>
    <w:rPr>
      <w:rFonts w:ascii="宋体" w:hAnsi="Courier New"/>
    </w:rPr>
  </w:style>
  <w:style w:type="character" w:styleId="1216">
    <w:name w:val="纯文本 Char1"/>
    <w:next w:val="1216"/>
    <w:link w:val="1107"/>
    <w:qFormat/>
    <w:rPr>
      <w:rFonts w:ascii="宋体" w:hAnsi="Courier New" w:eastAsia="宋体"/>
      <w:sz w:val="21"/>
      <w:lang w:val="en-US" w:eastAsia="zh-CN" w:bidi="ar-SA"/>
    </w:rPr>
  </w:style>
  <w:style w:type="character" w:styleId="1217">
    <w:name w:val="street-address"/>
    <w:basedOn w:val="1117"/>
    <w:next w:val="1217"/>
    <w:link w:val="1107"/>
    <w:qFormat/>
  </w:style>
  <w:style w:type="character" w:styleId="1218">
    <w:name w:val="列出段落 Char1"/>
    <w:next w:val="1218"/>
    <w:link w:val="1219"/>
    <w:uiPriority w:val="34"/>
    <w:qFormat/>
    <w:rPr>
      <w:rFonts w:ascii="Calibri" w:hAnsi="Calibri" w:eastAsia="宋体"/>
      <w:sz w:val="21"/>
      <w:szCs w:val="22"/>
      <w:lang w:val="en-US" w:eastAsia="zh-CN" w:bidi="ar-SA"/>
    </w:rPr>
  </w:style>
  <w:style w:type="paragraph" w:styleId="1219">
    <w:name w:val="列出段落"/>
    <w:basedOn w:val="1107"/>
    <w:next w:val="1219"/>
    <w:link w:val="1218"/>
    <w:uiPriority w:val="34"/>
    <w:qFormat/>
    <w:pPr>
      <w:ind w:firstLine="420"/>
    </w:pPr>
    <w:rPr>
      <w:rFonts w:ascii="Calibri" w:hAnsi="Calibri"/>
      <w:szCs w:val="22"/>
    </w:rPr>
  </w:style>
  <w:style w:type="character" w:styleId="1220">
    <w:name w:val="txt"/>
    <w:basedOn w:val="1117"/>
    <w:next w:val="1220"/>
    <w:link w:val="1107"/>
    <w:qFormat/>
  </w:style>
  <w:style w:type="character" w:styleId="1221">
    <w:name w:val="列出段落 Char"/>
    <w:next w:val="1221"/>
    <w:link w:val="1107"/>
    <w:qFormat/>
    <w:rPr>
      <w:rFonts w:ascii="Calibri" w:hAnsi="Calibri" w:eastAsia="宋体"/>
      <w:sz w:val="21"/>
      <w:szCs w:val="22"/>
      <w:lang w:val="en-US" w:eastAsia="zh-CN" w:bidi="ar-SA"/>
    </w:rPr>
  </w:style>
  <w:style w:type="character" w:styleId="1222">
    <w:name w:val="black1"/>
    <w:next w:val="1222"/>
    <w:link w:val="1107"/>
    <w:qFormat/>
    <w:rPr>
      <w:color w:val="000000"/>
    </w:rPr>
  </w:style>
  <w:style w:type="character" w:styleId="1223">
    <w:name w:val="正文文本缩进 Char"/>
    <w:next w:val="1223"/>
    <w:link w:val="1107"/>
    <w:qFormat/>
    <w:rPr>
      <w:rFonts w:eastAsia="宋体"/>
      <w:sz w:val="24"/>
      <w:szCs w:val="24"/>
      <w:lang w:val="en-US" w:eastAsia="zh-CN" w:bidi="ar-SA"/>
    </w:rPr>
  </w:style>
  <w:style w:type="character" w:styleId="1224">
    <w:name w:val="正文缩进 Char Char"/>
    <w:next w:val="1224"/>
    <w:link w:val="1225"/>
    <w:qFormat/>
    <w:rPr>
      <w:rFonts w:ascii="宋体" w:eastAsia="宋体"/>
      <w:color w:val="000000"/>
      <w:sz w:val="28"/>
      <w:lang w:bidi="ar-SA"/>
    </w:rPr>
  </w:style>
  <w:style w:type="paragraph" w:styleId="1225">
    <w:name w:val="正文缩进1"/>
    <w:basedOn w:val="1107"/>
    <w:next w:val="1225"/>
    <w:link w:val="1224"/>
    <w:qFormat/>
    <w:pPr>
      <w:ind w:firstLine="567"/>
      <w:spacing w:line="480" w:lineRule="exact"/>
      <w:widowControl/>
    </w:pPr>
    <w:rPr>
      <w:rFonts w:ascii="宋体"/>
      <w:color w:val="000000"/>
      <w:sz w:val="28"/>
      <w:szCs w:val="20"/>
    </w:rPr>
  </w:style>
  <w:style w:type="character" w:styleId="1226">
    <w:name w:val="标题 2 Char Char"/>
    <w:next w:val="1226"/>
    <w:link w:val="1107"/>
    <w:qFormat/>
    <w:rPr>
      <w:rFonts w:ascii="Arial" w:hAnsi="Arial" w:eastAsia="黑体"/>
      <w:b/>
      <w:bCs/>
      <w:sz w:val="32"/>
      <w:szCs w:val="32"/>
      <w:lang w:val="en-US" w:eastAsia="zh-CN" w:bidi="ar-SA"/>
    </w:rPr>
  </w:style>
  <w:style w:type="character" w:styleId="1227">
    <w:name w:val="正文缩进 Char"/>
    <w:next w:val="1227"/>
    <w:link w:val="1107"/>
    <w:qFormat/>
    <w:rPr>
      <w:rFonts w:ascii="宋体" w:eastAsia="宋体"/>
      <w:sz w:val="24"/>
      <w:szCs w:val="24"/>
      <w:lang w:val="en-US" w:eastAsia="zh-CN" w:bidi="ar-SA"/>
    </w:rPr>
  </w:style>
  <w:style w:type="character" w:styleId="1228">
    <w:name w:val="普通文字1 Char1"/>
    <w:next w:val="1228"/>
    <w:link w:val="1107"/>
    <w:qFormat/>
    <w:rPr>
      <w:rFonts w:ascii="宋体" w:hAnsi="Courier New" w:eastAsia="宋体"/>
      <w:sz w:val="21"/>
      <w:lang w:val="en-US" w:eastAsia="zh-CN" w:bidi="ar-SA"/>
    </w:rPr>
  </w:style>
  <w:style w:type="character" w:styleId="1229">
    <w:name w:val="页眉 Char"/>
    <w:next w:val="1229"/>
    <w:link w:val="1107"/>
    <w:qFormat/>
    <w:rPr>
      <w:rFonts w:eastAsia="宋体"/>
      <w:sz w:val="18"/>
      <w:szCs w:val="18"/>
      <w:lang w:val="en-US" w:eastAsia="zh-CN" w:bidi="ar-SA"/>
    </w:rPr>
  </w:style>
  <w:style w:type="character" w:styleId="1230">
    <w:name w:val="注释 Char"/>
    <w:next w:val="1230"/>
    <w:link w:val="1231"/>
    <w:qFormat/>
    <w:rPr>
      <w:rFonts w:ascii="宋体" w:hAnsi="宋体"/>
      <w:sz w:val="21"/>
      <w:szCs w:val="21"/>
    </w:rPr>
  </w:style>
  <w:style w:type="paragraph" w:styleId="1231">
    <w:name w:val="注释"/>
    <w:basedOn w:val="1107"/>
    <w:next w:val="1231"/>
    <w:link w:val="1230"/>
    <w:qFormat/>
    <w:pPr>
      <w:ind w:left="420" w:hanging="420"/>
      <w:jc w:val="left"/>
    </w:pPr>
    <w:rPr>
      <w:rFonts w:ascii="宋体" w:hAnsi="宋体"/>
      <w:szCs w:val="21"/>
    </w:rPr>
  </w:style>
  <w:style w:type="character" w:styleId="1232">
    <w:name w:val="成文日期 Char"/>
    <w:next w:val="1232"/>
    <w:link w:val="1233"/>
    <w:rPr>
      <w:rFonts w:ascii="仿宋_GB2312" w:eastAsia="仿宋_GB2312"/>
      <w:sz w:val="32"/>
    </w:rPr>
  </w:style>
  <w:style w:type="paragraph" w:styleId="1233">
    <w:name w:val="成文日期"/>
    <w:basedOn w:val="1107"/>
    <w:next w:val="1233"/>
    <w:link w:val="1232"/>
    <w:qFormat/>
    <w:pPr>
      <w:ind w:right="400" w:firstLine="200"/>
      <w:jc w:val="right"/>
      <w:spacing w:line="570" w:lineRule="exact"/>
    </w:pPr>
    <w:rPr>
      <w:rFonts w:ascii="仿宋_GB2312" w:eastAsia="仿宋_GB2312"/>
      <w:sz w:val="32"/>
      <w:szCs w:val="20"/>
    </w:rPr>
  </w:style>
  <w:style w:type="character" w:styleId="1234">
    <w:name w:val="apple-style-span"/>
    <w:next w:val="1234"/>
    <w:link w:val="1107"/>
    <w:qFormat/>
    <w:rPr>
      <w:rFonts w:cs="Times New Roman"/>
    </w:rPr>
  </w:style>
  <w:style w:type="character" w:styleId="1235">
    <w:name w:val="title4"/>
    <w:next w:val="1235"/>
    <w:link w:val="1107"/>
    <w:qFormat/>
    <w:rPr>
      <w:b/>
      <w:bCs/>
      <w:color w:val="1d87b3"/>
      <w:sz w:val="15"/>
      <w:szCs w:val="15"/>
    </w:rPr>
  </w:style>
  <w:style w:type="character" w:styleId="1236">
    <w:name w:val="标题 2 Char"/>
    <w:next w:val="1236"/>
    <w:link w:val="1107"/>
    <w:qFormat/>
    <w:rPr>
      <w:rFonts w:ascii="Arial" w:hAnsi="Arial" w:eastAsia="黑体"/>
      <w:b/>
      <w:sz w:val="30"/>
      <w:lang w:val="en-US" w:eastAsia="zh-CN" w:bidi="ar-SA"/>
    </w:rPr>
  </w:style>
  <w:style w:type="character" w:styleId="1237">
    <w:name w:val="标题 3 Char Char"/>
    <w:next w:val="1237"/>
    <w:link w:val="1107"/>
    <w:qFormat/>
    <w:rPr>
      <w:rFonts w:eastAsia="宋体"/>
      <w:b/>
      <w:bCs/>
      <w:sz w:val="32"/>
      <w:szCs w:val="32"/>
      <w:lang w:val="en-US" w:eastAsia="zh-CN" w:bidi="ar-SA"/>
    </w:rPr>
  </w:style>
  <w:style w:type="character" w:styleId="1238">
    <w:name w:val="正文文本缩进 Char1"/>
    <w:next w:val="1238"/>
    <w:link w:val="1239"/>
    <w:qFormat/>
    <w:rPr>
      <w:rFonts w:ascii="宋体" w:hAnsi="宋体" w:eastAsia="宋体"/>
      <w:sz w:val="24"/>
      <w:szCs w:val="24"/>
      <w:lang w:bidi="ar-SA"/>
    </w:rPr>
  </w:style>
  <w:style w:type="paragraph" w:styleId="1239">
    <w:name w:val="正文文本缩进1"/>
    <w:basedOn w:val="1107"/>
    <w:next w:val="1239"/>
    <w:link w:val="1238"/>
    <w:qFormat/>
    <w:pPr>
      <w:ind w:firstLine="480"/>
      <w:spacing w:line="480" w:lineRule="exact"/>
    </w:pPr>
    <w:rPr>
      <w:rFonts w:ascii="宋体" w:hAnsi="宋体"/>
      <w:sz w:val="24"/>
    </w:rPr>
  </w:style>
  <w:style w:type="character" w:styleId="1240">
    <w:name w:val="chanpin拷贝"/>
    <w:basedOn w:val="1117"/>
    <w:next w:val="1240"/>
    <w:link w:val="1107"/>
    <w:qFormat/>
  </w:style>
  <w:style w:type="paragraph" w:styleId="1241">
    <w:name w:val="样式 标题 2 + 宋体 五号 行距: 单倍行距"/>
    <w:basedOn w:val="1109"/>
    <w:next w:val="1241"/>
    <w:link w:val="1107"/>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242">
    <w:name w:val="正文须知-1级"/>
    <w:basedOn w:val="1107"/>
    <w:next w:val="1107"/>
    <w:link w:val="1107"/>
    <w:qFormat/>
    <w:pPr>
      <w:numPr>
        <w:ilvl w:val="0"/>
        <w:numId w:val="2"/>
      </w:numPr>
      <w:spacing w:line="300" w:lineRule="auto"/>
    </w:pPr>
    <w:rPr>
      <w:rFonts w:ascii="宋体" w:hAnsi="Calibri"/>
      <w:sz w:val="24"/>
      <w:szCs w:val="21"/>
    </w:rPr>
  </w:style>
  <w:style w:type="paragraph" w:styleId="1243">
    <w:name w:val="background1"/>
    <w:basedOn w:val="1107"/>
    <w:next w:val="1243"/>
    <w:link w:val="1107"/>
    <w:qFormat/>
    <w:pPr>
      <w:jc w:val="left"/>
      <w:spacing w:before="100" w:beforeAutospacing="1" w:after="100" w:afterAutospacing="1"/>
      <w:widowControl/>
    </w:pPr>
    <w:rPr>
      <w:rFonts w:ascii="宋体" w:hAnsi="宋体" w:cs="宋体"/>
      <w:sz w:val="24"/>
    </w:rPr>
  </w:style>
  <w:style w:type="paragraph" w:styleId="1244">
    <w:name w:val="xl40"/>
    <w:basedOn w:val="1107"/>
    <w:next w:val="1244"/>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name w:val="纯文本1"/>
    <w:next w:val="1164"/>
    <w:link w:val="1107"/>
    <w:qFormat/>
    <w:pPr>
      <w:jc w:val="both"/>
      <w:widowControl w:val="off"/>
    </w:pPr>
    <w:rPr>
      <w:rFonts w:ascii="宋体" w:hAnsi="宋体" w:eastAsia="宋体" w:cs="Times New Roman"/>
      <w:sz w:val="26"/>
      <w:lang w:val="en-US" w:eastAsia="zh-CN" w:bidi="ar-SA"/>
    </w:rPr>
  </w:style>
  <w:style w:type="paragraph" w:styleId="1246">
    <w:name w:val="Revision"/>
    <w:next w:val="1246"/>
    <w:link w:val="1107"/>
    <w:qFormat/>
    <w:rPr>
      <w:sz w:val="21"/>
      <w:szCs w:val="24"/>
      <w:lang w:val="en-US" w:eastAsia="zh-CN" w:bidi="ar-SA"/>
    </w:rPr>
  </w:style>
  <w:style w:type="paragraph" w:styleId="1247">
    <w:name w:val="二级条标题"/>
    <w:basedOn w:val="1248"/>
    <w:next w:val="1107"/>
    <w:link w:val="1107"/>
    <w:qFormat/>
    <w:pPr>
      <w:numPr>
        <w:ilvl w:val="0"/>
        <w:numId w:val="0"/>
      </w:numPr>
      <w:ind w:hanging="840"/>
      <w:tabs>
        <w:tab w:val="left" w:pos="360" w:leader="none"/>
        <w:tab w:val="left" w:pos="840" w:leader="none"/>
      </w:tabs>
      <w:outlineLvl w:val="2"/>
    </w:pPr>
    <w:rPr>
      <w:rFonts w:ascii="宋体" w:eastAsia="宋体"/>
      <w:b w:val="0"/>
    </w:rPr>
  </w:style>
  <w:style w:type="paragraph" w:styleId="1248">
    <w:name w:val="一级条标题"/>
    <w:basedOn w:val="1249"/>
    <w:next w:val="1107"/>
    <w:link w:val="1107"/>
    <w:qFormat/>
    <w:pPr>
      <w:numPr>
        <w:ilvl w:val="1"/>
      </w:numPr>
      <w:ind w:left="0" w:hanging="840"/>
      <w:tabs>
        <w:tab w:val="left" w:pos="360" w:leader="none"/>
        <w:tab w:val="left" w:pos="840" w:leader="none"/>
      </w:tabs>
      <w:outlineLvl w:val="1"/>
    </w:pPr>
  </w:style>
  <w:style w:type="paragraph" w:styleId="1249">
    <w:name w:val="章标题"/>
    <w:next w:val="1107"/>
    <w:link w:val="1107"/>
    <w:qFormat/>
    <w:pPr>
      <w:numPr>
        <w:ilvl w:val="0"/>
        <w:numId w:val="3"/>
      </w:numPr>
      <w:ind w:left="0"/>
      <w:jc w:val="both"/>
      <w:spacing w:before="156" w:after="156" w:line="460" w:lineRule="exact"/>
      <w:outlineLvl w:val="0"/>
    </w:pPr>
    <w:rPr>
      <w:rFonts w:ascii="黑体" w:eastAsia="黑体"/>
      <w:b/>
      <w:sz w:val="28"/>
      <w:lang w:val="en-US" w:eastAsia="zh-CN" w:bidi="ar-SA"/>
    </w:rPr>
  </w:style>
  <w:style w:type="paragraph" w:styleId="1250">
    <w:name w:val="Char Char1 Char Char Char Char Char Char Char Char"/>
    <w:basedOn w:val="1107"/>
    <w:next w:val="1250"/>
    <w:link w:val="1107"/>
    <w:qFormat/>
    <w:pPr>
      <w:jc w:val="left"/>
      <w:spacing w:after="160" w:line="240" w:lineRule="exact"/>
      <w:widowControl/>
    </w:pPr>
    <w:rPr>
      <w:rFonts w:ascii="Verdana" w:hAnsi="Verdana"/>
      <w:sz w:val="20"/>
      <w:szCs w:val="20"/>
      <w:lang w:eastAsia="en-US"/>
    </w:rPr>
  </w:style>
  <w:style w:type="paragraph" w:styleId="1251">
    <w:name w:val="Char Char Char1 Char"/>
    <w:basedOn w:val="1107"/>
    <w:next w:val="1251"/>
    <w:link w:val="1107"/>
    <w:qFormat/>
    <w:rPr>
      <w:rFonts w:ascii="Tahoma" w:hAnsi="Tahoma"/>
      <w:sz w:val="24"/>
      <w:szCs w:val="20"/>
    </w:rPr>
  </w:style>
  <w:style w:type="paragraph" w:styleId="1252">
    <w:name w:val="xl42"/>
    <w:basedOn w:val="1107"/>
    <w:next w:val="1252"/>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3">
    <w:name w:val="xl24"/>
    <w:basedOn w:val="1107"/>
    <w:next w:val="1253"/>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2 Char Char Char Char Char Char"/>
    <w:basedOn w:val="1107"/>
    <w:next w:val="1254"/>
    <w:link w:val="1107"/>
    <w:qFormat/>
    <w:pPr>
      <w:jc w:val="center"/>
      <w:spacing w:line="400" w:lineRule="exact"/>
      <w:widowControl/>
    </w:pPr>
  </w:style>
  <w:style w:type="paragraph" w:styleId="1255">
    <w:name w:val="xl39"/>
    <w:basedOn w:val="1107"/>
    <w:next w:val="1255"/>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1 Char Char Char Char"/>
    <w:basedOn w:val="1107"/>
    <w:next w:val="1256"/>
    <w:link w:val="1107"/>
    <w:qFormat/>
    <w:rPr>
      <w:rFonts w:ascii="Tahoma" w:hAnsi="Tahoma"/>
      <w:sz w:val="24"/>
      <w:szCs w:val="20"/>
    </w:rPr>
  </w:style>
  <w:style w:type="paragraph" w:styleId="1257">
    <w:name w:val="xl43"/>
    <w:basedOn w:val="1107"/>
    <w:next w:val="1257"/>
    <w:link w:val="110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name w:val="字元 字元"/>
    <w:basedOn w:val="1107"/>
    <w:next w:val="1258"/>
    <w:link w:val="1107"/>
    <w:qFormat/>
    <w:rPr>
      <w:rFonts w:ascii="Tahoma" w:hAnsi="Tahoma"/>
      <w:sz w:val="24"/>
      <w:szCs w:val="20"/>
    </w:rPr>
  </w:style>
  <w:style w:type="paragraph" w:styleId="1259">
    <w:name w:val="font7"/>
    <w:basedOn w:val="1107"/>
    <w:next w:val="1259"/>
    <w:link w:val="1107"/>
    <w:qFormat/>
    <w:pPr>
      <w:jc w:val="left"/>
      <w:spacing w:before="100" w:beforeAutospacing="1" w:after="100" w:afterAutospacing="1"/>
      <w:widowControl/>
    </w:pPr>
    <w:rPr>
      <w:rFonts w:eastAsia="Arial Unicode MS"/>
      <w:b/>
      <w:bCs/>
      <w:color w:val="000000"/>
      <w:sz w:val="20"/>
      <w:szCs w:val="20"/>
    </w:rPr>
  </w:style>
  <w:style w:type="paragraph" w:styleId="1260">
    <w:name w:val="Char Char1 Char Char Char Char Char Char1"/>
    <w:basedOn w:val="1107"/>
    <w:next w:val="1260"/>
    <w:link w:val="1107"/>
    <w:qFormat/>
    <w:pPr>
      <w:jc w:val="left"/>
      <w:spacing w:after="160" w:line="240" w:lineRule="exact"/>
      <w:widowControl/>
    </w:pPr>
    <w:rPr>
      <w:rFonts w:ascii="Verdana" w:hAnsi="Verdana" w:eastAsia="仿宋_GB2312"/>
      <w:sz w:val="24"/>
      <w:szCs w:val="20"/>
      <w:lang w:eastAsia="en-US"/>
    </w:rPr>
  </w:style>
  <w:style w:type="paragraph" w:styleId="1261">
    <w:name w:val="字元 字元1"/>
    <w:basedOn w:val="1107"/>
    <w:next w:val="1261"/>
    <w:link w:val="1107"/>
    <w:qFormat/>
    <w:rPr>
      <w:rFonts w:ascii="Tahoma" w:hAnsi="Tahoma"/>
      <w:sz w:val="24"/>
      <w:szCs w:val="20"/>
    </w:rPr>
  </w:style>
  <w:style w:type="paragraph" w:styleId="1262">
    <w:name w:val="Char Char1 Char Char Char Char Char Char"/>
    <w:basedOn w:val="1107"/>
    <w:next w:val="1262"/>
    <w:link w:val="1107"/>
    <w:qFormat/>
    <w:pPr>
      <w:jc w:val="left"/>
      <w:spacing w:after="160" w:line="240" w:lineRule="exact"/>
      <w:widowControl/>
    </w:pPr>
    <w:rPr>
      <w:rFonts w:ascii="Verdana" w:hAnsi="Verdana" w:eastAsia="仿宋_GB2312"/>
      <w:sz w:val="24"/>
      <w:szCs w:val="20"/>
      <w:lang w:eastAsia="en-US"/>
    </w:rPr>
  </w:style>
  <w:style w:type="paragraph" w:styleId="1263">
    <w:name w:val="xl26"/>
    <w:basedOn w:val="1107"/>
    <w:next w:val="1263"/>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4">
    <w:name w:val="font8"/>
    <w:basedOn w:val="1107"/>
    <w:next w:val="1264"/>
    <w:link w:val="1107"/>
    <w:qFormat/>
    <w:pPr>
      <w:jc w:val="left"/>
      <w:spacing w:before="100" w:beforeAutospacing="1" w:after="100" w:afterAutospacing="1"/>
      <w:widowControl/>
    </w:pPr>
    <w:rPr>
      <w:sz w:val="36"/>
      <w:szCs w:val="36"/>
    </w:rPr>
  </w:style>
  <w:style w:type="paragraph" w:styleId="1265">
    <w:name w:val="Char Char41"/>
    <w:basedOn w:val="1107"/>
    <w:next w:val="1265"/>
    <w:link w:val="1107"/>
    <w:qFormat/>
    <w:pPr>
      <w:jc w:val="center"/>
      <w:spacing w:line="400" w:lineRule="exact"/>
      <w:widowControl/>
    </w:pPr>
  </w:style>
  <w:style w:type="paragraph" w:styleId="1266">
    <w:name w:val="Char2"/>
    <w:basedOn w:val="1107"/>
    <w:next w:val="1266"/>
    <w:link w:val="1107"/>
    <w:qFormat/>
    <w:rPr>
      <w:rFonts w:ascii="Tahoma" w:hAnsi="Tahoma"/>
      <w:sz w:val="24"/>
      <w:szCs w:val="20"/>
    </w:rPr>
  </w:style>
  <w:style w:type="paragraph" w:styleId="1267">
    <w:name w:val="正文文本样式 加粗"/>
    <w:basedOn w:val="1268"/>
    <w:next w:val="1267"/>
    <w:link w:val="1107"/>
    <w:qFormat/>
    <w:rPr>
      <w:b/>
    </w:rPr>
  </w:style>
  <w:style w:type="paragraph" w:styleId="1268">
    <w:name w:val="正文文本样式"/>
    <w:basedOn w:val="1107"/>
    <w:next w:val="1268"/>
    <w:link w:val="1107"/>
    <w:qFormat/>
    <w:pPr>
      <w:ind w:firstLine="482"/>
      <w:spacing w:line="360" w:lineRule="auto"/>
    </w:pPr>
    <w:rPr>
      <w:rFonts w:cs="宋体"/>
      <w:sz w:val="24"/>
      <w:szCs w:val="20"/>
    </w:rPr>
  </w:style>
  <w:style w:type="paragraph" w:styleId="1269">
    <w:name w:val="项目编号1"/>
    <w:basedOn w:val="1107"/>
    <w:next w:val="1269"/>
    <w:link w:val="1107"/>
    <w:qFormat/>
    <w:pPr>
      <w:numPr>
        <w:ilvl w:val="0"/>
        <w:numId w:val="4"/>
      </w:numPr>
      <w:spacing w:before="100" w:beforeAutospacing="1" w:after="100" w:afterAutospacing="1" w:line="360" w:lineRule="auto"/>
    </w:pPr>
    <w:rPr>
      <w:sz w:val="24"/>
    </w:rPr>
  </w:style>
  <w:style w:type="paragraph" w:styleId="1270">
    <w:name w:val="xl23"/>
    <w:basedOn w:val="1107"/>
    <w:next w:val="1270"/>
    <w:link w:val="1107"/>
    <w:qFormat/>
    <w:pPr>
      <w:spacing w:before="100" w:beforeAutospacing="1" w:after="100" w:afterAutospacing="1" w:line="360" w:lineRule="auto"/>
      <w:widowControl/>
    </w:pPr>
    <w:rPr>
      <w:sz w:val="24"/>
      <w:szCs w:val="20"/>
    </w:rPr>
  </w:style>
  <w:style w:type="paragraph" w:styleId="1271">
    <w:name w:val="_Style 15"/>
    <w:basedOn w:val="1107"/>
    <w:next w:val="1107"/>
    <w:link w:val="1107"/>
    <w:qFormat/>
    <w:pPr>
      <w:ind w:left="420" w:firstLine="420"/>
      <w:spacing w:after="120"/>
    </w:pPr>
    <w:rPr>
      <w:szCs w:val="22"/>
    </w:rPr>
  </w:style>
  <w:style w:type="paragraph" w:styleId="1272">
    <w:name w:val="xl32"/>
    <w:basedOn w:val="1107"/>
    <w:next w:val="1272"/>
    <w:link w:val="11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name w:val="正文须知-3级"/>
    <w:basedOn w:val="1107"/>
    <w:next w:val="1273"/>
    <w:link w:val="1107"/>
    <w:qFormat/>
    <w:pPr>
      <w:numPr>
        <w:ilvl w:val="2"/>
        <w:numId w:val="2"/>
      </w:numPr>
      <w:ind w:hanging="355"/>
      <w:spacing w:line="300" w:lineRule="auto"/>
    </w:pPr>
    <w:rPr>
      <w:rFonts w:ascii="宋体" w:hAnsi="Calibri"/>
      <w:sz w:val="24"/>
      <w:szCs w:val="21"/>
    </w:rPr>
  </w:style>
  <w:style w:type="paragraph" w:styleId="1274">
    <w:name w:val="标题1-附件"/>
    <w:basedOn w:val="1108"/>
    <w:next w:val="1274"/>
    <w:link w:val="1107"/>
    <w:qFormat/>
    <w:pPr>
      <w:jc w:val="left"/>
    </w:pPr>
    <w:rPr>
      <w:sz w:val="24"/>
      <w:szCs w:val="24"/>
    </w:rPr>
  </w:style>
  <w:style w:type="paragraph" w:styleId="1275">
    <w:name w:val="Char3"/>
    <w:basedOn w:val="1107"/>
    <w:next w:val="1275"/>
    <w:link w:val="1107"/>
    <w:qFormat/>
    <w:pPr>
      <w:tabs>
        <w:tab w:val="left" w:pos="360" w:leader="none"/>
      </w:tabs>
    </w:pPr>
    <w:rPr>
      <w:sz w:val="24"/>
    </w:rPr>
  </w:style>
  <w:style w:type="paragraph" w:styleId="1276">
    <w:name w:val="xl31"/>
    <w:basedOn w:val="1107"/>
    <w:next w:val="1276"/>
    <w:link w:val="11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7">
    <w:name w:val="xl53"/>
    <w:basedOn w:val="1107"/>
    <w:next w:val="1277"/>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8">
    <w:name w:val="font6"/>
    <w:basedOn w:val="1107"/>
    <w:next w:val="1278"/>
    <w:link w:val="1107"/>
    <w:qFormat/>
    <w:pPr>
      <w:jc w:val="left"/>
      <w:spacing w:before="100" w:beforeAutospacing="1" w:after="100" w:afterAutospacing="1"/>
      <w:widowControl/>
    </w:pPr>
    <w:rPr>
      <w:rFonts w:ascii="宋体" w:hAnsi="宋体" w:cs="宋体"/>
      <w:sz w:val="20"/>
      <w:szCs w:val="20"/>
    </w:rPr>
  </w:style>
  <w:style w:type="paragraph" w:styleId="1279">
    <w:name w:val="xl35"/>
    <w:basedOn w:val="1107"/>
    <w:next w:val="1279"/>
    <w:link w:val="110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0">
    <w:name w:val="Char Char Char1 Char2"/>
    <w:basedOn w:val="1107"/>
    <w:next w:val="1280"/>
    <w:link w:val="1107"/>
    <w:qFormat/>
    <w:rPr>
      <w:rFonts w:ascii="Tahoma" w:hAnsi="Tahoma"/>
      <w:sz w:val="24"/>
      <w:szCs w:val="20"/>
    </w:rPr>
  </w:style>
  <w:style w:type="paragraph" w:styleId="1281">
    <w:name w:val="正文列项_字母"/>
    <w:basedOn w:val="1107"/>
    <w:next w:val="1281"/>
    <w:link w:val="1107"/>
    <w:qFormat/>
    <w:pPr>
      <w:numPr>
        <w:ilvl w:val="6"/>
        <w:numId w:val="3"/>
      </w:numPr>
      <w:ind w:left="480" w:hanging="180"/>
      <w:spacing w:line="460" w:lineRule="exact"/>
      <w:tabs>
        <w:tab w:val="clear" w:pos="635" w:leader="none"/>
      </w:tabs>
      <w:outlineLvl w:val="6"/>
    </w:pPr>
    <w:rPr>
      <w:rFonts w:ascii="宋体"/>
      <w:sz w:val="28"/>
      <w:szCs w:val="20"/>
    </w:rPr>
  </w:style>
  <w:style w:type="paragraph" w:styleId="1282">
    <w:name w:val="1名"/>
    <w:basedOn w:val="1107"/>
    <w:next w:val="1282"/>
    <w:link w:val="1107"/>
    <w:qFormat/>
    <w:pPr>
      <w:numPr>
        <w:ilvl w:val="0"/>
        <w:numId w:val="5"/>
      </w:numPr>
      <w:spacing w:before="120"/>
      <w:tabs>
        <w:tab w:val="left" w:pos="360" w:leader="none"/>
      </w:tabs>
    </w:pPr>
    <w:rPr>
      <w:rFonts w:ascii="宋体"/>
      <w:sz w:val="28"/>
      <w:szCs w:val="20"/>
    </w:rPr>
  </w:style>
  <w:style w:type="paragraph" w:styleId="1283">
    <w:name w:val="样式 宋体 五号 行距: 单倍行距"/>
    <w:basedOn w:val="1107"/>
    <w:next w:val="1283"/>
    <w:link w:val="1107"/>
    <w:qFormat/>
    <w:pPr>
      <w:jc w:val="left"/>
    </w:pPr>
    <w:rPr>
      <w:rFonts w:ascii="宋体" w:hAnsi="宋体"/>
      <w:szCs w:val="20"/>
    </w:rPr>
  </w:style>
  <w:style w:type="paragraph" w:styleId="1284">
    <w:name w:val="表格1"/>
    <w:basedOn w:val="1107"/>
    <w:next w:val="1284"/>
    <w:link w:val="1107"/>
    <w:qFormat/>
    <w:pPr>
      <w:ind w:firstLine="480"/>
      <w:jc w:val="center"/>
    </w:pPr>
    <w:rPr>
      <w:sz w:val="24"/>
      <w:szCs w:val="20"/>
    </w:rPr>
  </w:style>
  <w:style w:type="paragraph" w:styleId="1285">
    <w:name w:val="字元 字元2"/>
    <w:basedOn w:val="1107"/>
    <w:next w:val="1285"/>
    <w:link w:val="1107"/>
    <w:qFormat/>
    <w:rPr>
      <w:rFonts w:ascii="Tahoma" w:hAnsi="Tahoma"/>
      <w:sz w:val="24"/>
      <w:szCs w:val="20"/>
    </w:rPr>
  </w:style>
  <w:style w:type="paragraph" w:styleId="1286">
    <w:name w:val="文档正文"/>
    <w:basedOn w:val="1107"/>
    <w:next w:val="1286"/>
    <w:link w:val="1107"/>
    <w:qFormat/>
    <w:pPr>
      <w:spacing w:before="120" w:after="120" w:line="180" w:lineRule="auto"/>
    </w:pPr>
    <w:rPr>
      <w:rFonts w:ascii="Arial" w:hAnsi="Arial"/>
      <w:szCs w:val="20"/>
    </w:rPr>
  </w:style>
  <w:style w:type="paragraph" w:styleId="1287">
    <w:name w:val="xl48"/>
    <w:basedOn w:val="1107"/>
    <w:next w:val="1287"/>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8">
    <w:name w:val="xl51"/>
    <w:basedOn w:val="1107"/>
    <w:next w:val="1288"/>
    <w:link w:val="11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xl37"/>
    <w:basedOn w:val="1107"/>
    <w:next w:val="1289"/>
    <w:link w:val="110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name w:val="Char1 Char Char Char1"/>
    <w:basedOn w:val="1107"/>
    <w:next w:val="1290"/>
    <w:link w:val="1107"/>
    <w:qFormat/>
    <w:rPr>
      <w:rFonts w:ascii="Tahoma" w:hAnsi="Tahoma" w:cs="仿宋_GB2312"/>
      <w:sz w:val="24"/>
      <w:szCs w:val="28"/>
    </w:rPr>
  </w:style>
  <w:style w:type="paragraph" w:styleId="1291">
    <w:name w:val="图例"/>
    <w:basedOn w:val="1107"/>
    <w:next w:val="1291"/>
    <w:link w:val="1107"/>
    <w:qFormat/>
    <w:pPr>
      <w:jc w:val="center"/>
      <w:spacing w:before="120" w:after="120" w:line="360" w:lineRule="auto"/>
    </w:pPr>
    <w:rPr>
      <w:rFonts w:eastAsia="仿宋_GB2312"/>
      <w:b/>
      <w:sz w:val="24"/>
      <w:szCs w:val="20"/>
    </w:rPr>
  </w:style>
  <w:style w:type="paragraph" w:styleId="1292">
    <w:name w:val="Char Char1"/>
    <w:basedOn w:val="1137"/>
    <w:next w:val="1292"/>
    <w:link w:val="1107"/>
    <w:qFormat/>
    <w:rPr>
      <w:rFonts w:ascii="Tahoma" w:hAnsi="Tahoma"/>
      <w:sz w:val="24"/>
    </w:rPr>
  </w:style>
  <w:style w:type="paragraph" w:styleId="1293">
    <w:name w:val="Char Char Char Char Char Char Char Char Char Char Char Char Char Char Char Char"/>
    <w:basedOn w:val="1107"/>
    <w:next w:val="1293"/>
    <w:link w:val="1107"/>
    <w:qFormat/>
    <w:pPr>
      <w:jc w:val="center"/>
      <w:spacing w:after="160" w:line="240" w:lineRule="exact"/>
      <w:widowControl/>
    </w:pPr>
    <w:rPr>
      <w:rFonts w:ascii="宋体" w:hAnsi="宋体"/>
      <w:b/>
      <w:sz w:val="30"/>
      <w:szCs w:val="30"/>
      <w:lang w:eastAsia="en-US"/>
    </w:rPr>
  </w:style>
  <w:style w:type="paragraph" w:styleId="1294">
    <w:name w:val="xl25"/>
    <w:basedOn w:val="1107"/>
    <w:next w:val="1294"/>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正文列项_数字"/>
    <w:basedOn w:val="1107"/>
    <w:next w:val="1295"/>
    <w:link w:val="1107"/>
    <w:qFormat/>
    <w:pPr>
      <w:numPr>
        <w:ilvl w:val="7"/>
        <w:numId w:val="3"/>
      </w:numPr>
      <w:ind w:left="680" w:hanging="150"/>
      <w:spacing w:line="460" w:lineRule="exact"/>
      <w:tabs>
        <w:tab w:val="clear" w:pos="860" w:leader="none"/>
      </w:tabs>
      <w:outlineLvl w:val="7"/>
    </w:pPr>
    <w:rPr>
      <w:rFonts w:ascii="宋体"/>
      <w:sz w:val="28"/>
      <w:szCs w:val="20"/>
    </w:rPr>
  </w:style>
  <w:style w:type="paragraph" w:styleId="1296">
    <w:name w:val="默认段落字体 Para Char Char Char Char"/>
    <w:basedOn w:val="1107"/>
    <w:next w:val="1296"/>
    <w:link w:val="1107"/>
    <w:qFormat/>
    <w:rPr>
      <w:rFonts w:ascii="Arial" w:hAnsi="Arial" w:cs="Arial"/>
      <w:szCs w:val="21"/>
    </w:rPr>
  </w:style>
  <w:style w:type="paragraph" w:styleId="1297">
    <w:name w:val="xl44"/>
    <w:basedOn w:val="1107"/>
    <w:next w:val="1297"/>
    <w:link w:val="11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8">
    <w:name w:val="xl29"/>
    <w:basedOn w:val="1107"/>
    <w:next w:val="1298"/>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9">
    <w:name w:val="font9"/>
    <w:basedOn w:val="1107"/>
    <w:next w:val="1299"/>
    <w:link w:val="1107"/>
    <w:qFormat/>
    <w:pPr>
      <w:jc w:val="left"/>
      <w:spacing w:before="100" w:beforeAutospacing="1" w:after="100" w:afterAutospacing="1"/>
      <w:widowControl/>
    </w:pPr>
    <w:rPr>
      <w:rFonts w:hint="eastAsia" w:ascii="宋体" w:hAnsi="宋体" w:cs="Arial Unicode MS"/>
      <w:color w:val="000000"/>
      <w:sz w:val="20"/>
      <w:szCs w:val="20"/>
    </w:rPr>
  </w:style>
  <w:style w:type="paragraph" w:styleId="1300">
    <w:name w:val="Char Char Char Char Char Char Char1"/>
    <w:basedOn w:val="1107"/>
    <w:next w:val="1300"/>
    <w:link w:val="1107"/>
    <w:qFormat/>
    <w:pPr>
      <w:ind w:firstLine="200"/>
      <w:spacing w:line="360" w:lineRule="auto"/>
    </w:pPr>
    <w:rPr>
      <w:rFonts w:eastAsia="仿宋_GB2312"/>
      <w:sz w:val="24"/>
    </w:rPr>
  </w:style>
  <w:style w:type="paragraph" w:styleId="1301">
    <w:name w:val="Char Char4"/>
    <w:basedOn w:val="1107"/>
    <w:next w:val="1301"/>
    <w:link w:val="1107"/>
    <w:qFormat/>
    <w:pPr>
      <w:jc w:val="center"/>
      <w:spacing w:line="400" w:lineRule="exact"/>
      <w:widowControl/>
    </w:pPr>
  </w:style>
  <w:style w:type="paragraph" w:styleId="1302">
    <w:name w:val="xl50"/>
    <w:basedOn w:val="1107"/>
    <w:next w:val="1302"/>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3">
    <w:name w:val="xl52"/>
    <w:basedOn w:val="1107"/>
    <w:next w:val="1303"/>
    <w:link w:val="11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4">
    <w:name w:val="Char Char Char"/>
    <w:basedOn w:val="1107"/>
    <w:next w:val="1304"/>
    <w:link w:val="1107"/>
    <w:qFormat/>
    <w:rPr>
      <w:rFonts w:ascii="Tahoma" w:hAnsi="Tahoma"/>
      <w:sz w:val="24"/>
      <w:szCs w:val="20"/>
    </w:rPr>
  </w:style>
  <w:style w:type="paragraph" w:styleId="1305">
    <w:name w:val="项目编号2"/>
    <w:basedOn w:val="1269"/>
    <w:next w:val="1305"/>
    <w:link w:val="1107"/>
    <w:qFormat/>
    <w:pPr>
      <w:numPr>
        <w:numId w:val="6"/>
      </w:numPr>
    </w:pPr>
  </w:style>
  <w:style w:type="paragraph" w:styleId="1306">
    <w:name w:val="正文须知-2级"/>
    <w:basedOn w:val="1107"/>
    <w:next w:val="1306"/>
    <w:link w:val="1107"/>
    <w:qFormat/>
    <w:pPr>
      <w:numPr>
        <w:ilvl w:val="1"/>
        <w:numId w:val="2"/>
      </w:numPr>
      <w:spacing w:line="300" w:lineRule="auto"/>
    </w:pPr>
    <w:rPr>
      <w:rFonts w:ascii="宋体" w:hAnsi="Calibri"/>
      <w:sz w:val="24"/>
      <w:szCs w:val="21"/>
    </w:rPr>
  </w:style>
  <w:style w:type="paragraph" w:styleId="1307">
    <w:name w:val="Char Char Char Char Char Char Char2"/>
    <w:basedOn w:val="1107"/>
    <w:next w:val="1307"/>
    <w:link w:val="1107"/>
    <w:qFormat/>
    <w:pPr>
      <w:ind w:firstLine="200"/>
      <w:spacing w:line="360" w:lineRule="auto"/>
    </w:pPr>
    <w:rPr>
      <w:rFonts w:eastAsia="仿宋_GB2312"/>
      <w:sz w:val="24"/>
    </w:rPr>
  </w:style>
  <w:style w:type="paragraph" w:styleId="1308">
    <w:name w:val="??"/>
    <w:next w:val="1308"/>
    <w:link w:val="1107"/>
    <w:qFormat/>
    <w:pPr>
      <w:jc w:val="both"/>
      <w:widowControl w:val="off"/>
    </w:pPr>
    <w:rPr>
      <w:sz w:val="21"/>
      <w:lang w:val="en-US" w:eastAsia="en-US" w:bidi="ar-SA"/>
    </w:rPr>
  </w:style>
  <w:style w:type="paragraph" w:styleId="1309">
    <w:name w:val="Char Char Char2"/>
    <w:basedOn w:val="1107"/>
    <w:next w:val="1309"/>
    <w:link w:val="1107"/>
    <w:qFormat/>
    <w:rPr>
      <w:rFonts w:ascii="Tahoma" w:hAnsi="Tahoma"/>
      <w:sz w:val="24"/>
      <w:szCs w:val="20"/>
    </w:rPr>
  </w:style>
  <w:style w:type="paragraph" w:styleId="1310">
    <w:name w:val="修订"/>
    <w:next w:val="1310"/>
    <w:link w:val="1107"/>
    <w:uiPriority w:val="99"/>
    <w:unhideWhenUsed/>
    <w:rPr>
      <w:sz w:val="21"/>
      <w:szCs w:val="24"/>
      <w:lang w:val="en-US" w:eastAsia="zh-CN" w:bidi="ar-SA"/>
    </w:rPr>
  </w:style>
  <w:style w:type="paragraph" w:styleId="1311">
    <w:name w:val="xl45"/>
    <w:basedOn w:val="1107"/>
    <w:next w:val="1311"/>
    <w:link w:val="110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2">
    <w:name w:val="列出段落2"/>
    <w:basedOn w:val="1107"/>
    <w:next w:val="1312"/>
    <w:link w:val="1107"/>
    <w:qFormat/>
    <w:pPr>
      <w:ind w:firstLine="420"/>
    </w:pPr>
    <w:rPr>
      <w:rFonts w:ascii="Calibri" w:hAnsi="Calibri"/>
      <w:szCs w:val="22"/>
    </w:rPr>
  </w:style>
  <w:style w:type="paragraph" w:styleId="1313">
    <w:name w:val="xl30"/>
    <w:basedOn w:val="1107"/>
    <w:next w:val="1313"/>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name w:val="图中文字"/>
    <w:basedOn w:val="1107"/>
    <w:next w:val="1314"/>
    <w:link w:val="1107"/>
    <w:qFormat/>
    <w:pPr>
      <w:jc w:val="center"/>
      <w:spacing w:line="0" w:lineRule="atLeast"/>
    </w:pPr>
    <w:rPr>
      <w:sz w:val="24"/>
      <w:szCs w:val="20"/>
    </w:rPr>
  </w:style>
  <w:style w:type="paragraph" w:styleId="1315">
    <w:name w:val="Table Paragraph"/>
    <w:basedOn w:val="1107"/>
    <w:next w:val="1315"/>
    <w:link w:val="1107"/>
    <w:uiPriority w:val="1"/>
    <w:qFormat/>
    <w:pPr>
      <w:jc w:val="left"/>
    </w:pPr>
    <w:rPr>
      <w:rFonts w:ascii="宋体" w:hAnsi="宋体" w:cs="宋体"/>
      <w:sz w:val="22"/>
      <w:szCs w:val="22"/>
      <w:lang w:eastAsia="en-US"/>
    </w:rPr>
  </w:style>
  <w:style w:type="paragraph" w:styleId="1316">
    <w:name w:val="正文 + 楷体_GB2312"/>
    <w:basedOn w:val="1107"/>
    <w:next w:val="1316"/>
    <w:link w:val="1107"/>
    <w:qFormat/>
    <w:pPr>
      <w:jc w:val="left"/>
      <w:widowControl/>
    </w:pPr>
    <w:rPr>
      <w:rFonts w:ascii="楷体_GB2312" w:eastAsia="楷体_GB2312" w:cs="Arial"/>
      <w:sz w:val="24"/>
    </w:rPr>
  </w:style>
  <w:style w:type="paragraph" w:styleId="1317">
    <w:name w:val="缺省文本"/>
    <w:basedOn w:val="1107"/>
    <w:next w:val="1317"/>
    <w:link w:val="1107"/>
    <w:qFormat/>
    <w:pPr>
      <w:jc w:val="left"/>
    </w:pPr>
    <w:rPr>
      <w:sz w:val="24"/>
    </w:rPr>
  </w:style>
  <w:style w:type="paragraph" w:styleId="1318">
    <w:name w:val="样式2"/>
    <w:basedOn w:val="1175"/>
    <w:next w:val="1318"/>
    <w:link w:val="1107"/>
    <w:qFormat/>
    <w:pPr>
      <w:jc w:val="center"/>
      <w:spacing w:line="360" w:lineRule="auto"/>
    </w:pPr>
    <w:rPr>
      <w:sz w:val="24"/>
    </w:rPr>
  </w:style>
  <w:style w:type="paragraph" w:styleId="1319">
    <w:name w:val="_Style 11"/>
    <w:basedOn w:val="1107"/>
    <w:next w:val="1107"/>
    <w:link w:val="1107"/>
    <w:qFormat/>
    <w:pPr>
      <w:ind w:left="420" w:firstLine="420"/>
      <w:spacing w:after="120"/>
    </w:pPr>
    <w:rPr>
      <w:rFonts w:ascii="Times New Roman" w:hAnsi="Times New Roman"/>
    </w:rPr>
  </w:style>
  <w:style w:type="paragraph" w:styleId="1320">
    <w:name w:val="图文"/>
    <w:basedOn w:val="1107"/>
    <w:next w:val="1320"/>
    <w:link w:val="1107"/>
    <w:qFormat/>
    <w:pPr>
      <w:spacing w:after="50" w:line="360" w:lineRule="auto"/>
    </w:pPr>
    <w:rPr>
      <w:sz w:val="24"/>
    </w:rPr>
  </w:style>
  <w:style w:type="paragraph" w:styleId="1321">
    <w:name w:val="Char2 Char Char Char Char Char Char1"/>
    <w:basedOn w:val="1107"/>
    <w:next w:val="1321"/>
    <w:link w:val="1107"/>
    <w:qFormat/>
    <w:pPr>
      <w:jc w:val="center"/>
      <w:spacing w:line="400" w:lineRule="exact"/>
      <w:widowControl/>
    </w:pPr>
  </w:style>
  <w:style w:type="paragraph" w:styleId="1322">
    <w:name w:val="Char Char Char Char Char Char Char Char Char Char1"/>
    <w:basedOn w:val="1107"/>
    <w:next w:val="1322"/>
    <w:link w:val="1107"/>
    <w:qFormat/>
    <w:rPr>
      <w:rFonts w:ascii="宋体" w:hAnsi="宋体" w:cs="Courier New"/>
      <w:sz w:val="32"/>
      <w:szCs w:val="32"/>
    </w:rPr>
  </w:style>
  <w:style w:type="paragraph" w:styleId="1323">
    <w:name w:val="Char3 Char Char Char2"/>
    <w:basedOn w:val="1107"/>
    <w:next w:val="1323"/>
    <w:link w:val="1107"/>
    <w:qFormat/>
    <w:rPr>
      <w:rFonts w:ascii="Tahoma" w:hAnsi="Tahoma"/>
      <w:sz w:val="24"/>
      <w:szCs w:val="20"/>
    </w:rPr>
  </w:style>
  <w:style w:type="paragraph" w:styleId="1324">
    <w:name w:val="Char1"/>
    <w:basedOn w:val="1107"/>
    <w:next w:val="1324"/>
    <w:link w:val="1107"/>
    <w:qFormat/>
    <w:pPr>
      <w:tabs>
        <w:tab w:val="left" w:pos="360" w:leader="none"/>
      </w:tabs>
    </w:pPr>
    <w:rPr>
      <w:sz w:val="24"/>
    </w:rPr>
  </w:style>
  <w:style w:type="paragraph" w:styleId="1325">
    <w:name w:val="Char Char Char1"/>
    <w:basedOn w:val="1107"/>
    <w:next w:val="1325"/>
    <w:link w:val="1107"/>
    <w:qFormat/>
    <w:rPr>
      <w:rFonts w:ascii="Tahoma" w:hAnsi="Tahoma"/>
      <w:sz w:val="24"/>
      <w:szCs w:val="20"/>
    </w:rPr>
  </w:style>
  <w:style w:type="paragraph" w:styleId="1326">
    <w:name w:val="xl46"/>
    <w:basedOn w:val="1107"/>
    <w:next w:val="1326"/>
    <w:link w:val="110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7">
    <w:name w:val="_Style 160"/>
    <w:next w:val="1327"/>
    <w:link w:val="1107"/>
    <w:qFormat/>
    <w:rPr>
      <w:sz w:val="21"/>
      <w:szCs w:val="24"/>
      <w:lang w:val="en-US" w:eastAsia="zh-CN" w:bidi="ar-SA"/>
    </w:rPr>
  </w:style>
  <w:style w:type="paragraph" w:styleId="1328">
    <w:name w:val="无标题条"/>
    <w:next w:val="1107"/>
    <w:link w:val="1107"/>
    <w:qFormat/>
    <w:pPr>
      <w:jc w:val="both"/>
    </w:pPr>
    <w:rPr>
      <w:sz w:val="21"/>
      <w:lang w:val="en-US" w:eastAsia="zh-CN" w:bidi="ar-SA"/>
    </w:rPr>
  </w:style>
  <w:style w:type="paragraph" w:styleId="1329">
    <w:name w:val="Char Char Char Char Char Char Char Char Char Char"/>
    <w:basedOn w:val="1107"/>
    <w:next w:val="1329"/>
    <w:link w:val="1107"/>
    <w:qFormat/>
  </w:style>
  <w:style w:type="paragraph" w:styleId="1330">
    <w:name w:val="列出段落1"/>
    <w:basedOn w:val="1107"/>
    <w:next w:val="1330"/>
    <w:link w:val="1107"/>
    <w:qFormat/>
    <w:pPr>
      <w:ind w:firstLine="420"/>
    </w:pPr>
    <w:rPr>
      <w:rFonts w:ascii="Calibri" w:hAnsi="Calibri"/>
      <w:szCs w:val="22"/>
    </w:rPr>
  </w:style>
  <w:style w:type="paragraph" w:styleId="1331">
    <w:name w:val="xl47"/>
    <w:basedOn w:val="1107"/>
    <w:next w:val="1331"/>
    <w:link w:val="11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name w:val="xl38"/>
    <w:basedOn w:val="1107"/>
    <w:next w:val="1332"/>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3">
    <w:name w:val="Char Char Char Char Char Char Char Char Char Char2"/>
    <w:basedOn w:val="1107"/>
    <w:next w:val="1333"/>
    <w:link w:val="1107"/>
    <w:qFormat/>
    <w:rPr>
      <w:rFonts w:ascii="宋体" w:hAnsi="宋体" w:cs="Courier New"/>
      <w:sz w:val="32"/>
      <w:szCs w:val="32"/>
    </w:rPr>
  </w:style>
  <w:style w:type="paragraph" w:styleId="1334">
    <w:name w:val="Char Char Char Char Char Char Char Char Char Char Char Char Char Char Char Char1"/>
    <w:basedOn w:val="1107"/>
    <w:next w:val="1334"/>
    <w:link w:val="1107"/>
    <w:qFormat/>
    <w:pPr>
      <w:jc w:val="center"/>
      <w:spacing w:after="160" w:line="240" w:lineRule="exact"/>
      <w:widowControl/>
    </w:pPr>
    <w:rPr>
      <w:rFonts w:ascii="宋体" w:hAnsi="宋体"/>
      <w:b/>
      <w:sz w:val="30"/>
      <w:szCs w:val="30"/>
      <w:lang w:eastAsia="en-US"/>
    </w:rPr>
  </w:style>
  <w:style w:type="paragraph" w:styleId="1335">
    <w:name w:val="Char Char Char Char Char Char Char"/>
    <w:basedOn w:val="1107"/>
    <w:next w:val="1335"/>
    <w:link w:val="1107"/>
    <w:qFormat/>
    <w:pPr>
      <w:ind w:firstLine="200"/>
      <w:spacing w:line="360" w:lineRule="auto"/>
    </w:pPr>
    <w:rPr>
      <w:rFonts w:eastAsia="仿宋_GB2312"/>
      <w:sz w:val="24"/>
    </w:rPr>
  </w:style>
  <w:style w:type="paragraph" w:styleId="1336">
    <w:name w:val="三级条标题"/>
    <w:basedOn w:val="1247"/>
    <w:next w:val="1107"/>
    <w:link w:val="1107"/>
    <w:qFormat/>
    <w:pPr>
      <w:numPr>
        <w:ilvl w:val="3"/>
        <w:numId w:val="3"/>
      </w:numPr>
      <w:ind w:left="0" w:hanging="840"/>
      <w:tabs>
        <w:tab w:val="left" w:pos="360" w:leader="none"/>
        <w:tab w:val="left" w:pos="840" w:leader="none"/>
      </w:tabs>
      <w:outlineLvl w:val="3"/>
    </w:pPr>
  </w:style>
  <w:style w:type="paragraph" w:styleId="1337">
    <w:name w:val="正文缩进2"/>
    <w:basedOn w:val="1107"/>
    <w:next w:val="1337"/>
    <w:link w:val="1107"/>
    <w:qFormat/>
    <w:pPr>
      <w:ind w:firstLine="567"/>
      <w:spacing w:line="480" w:lineRule="exact"/>
      <w:widowControl/>
    </w:pPr>
    <w:rPr>
      <w:rFonts w:ascii="宋体"/>
      <w:color w:val="000000"/>
      <w:sz w:val="28"/>
      <w:szCs w:val="20"/>
      <w:lang w:val="zh-CN" w:eastAsia="zh-CN"/>
    </w:rPr>
  </w:style>
  <w:style w:type="paragraph" w:styleId="1338">
    <w:name w:val="正文 + 宋体"/>
    <w:basedOn w:val="1107"/>
    <w:next w:val="1338"/>
    <w:link w:val="1107"/>
    <w:qFormat/>
    <w:pPr>
      <w:ind w:left="360" w:hanging="360"/>
      <w:jc w:val="left"/>
      <w:widowControl/>
    </w:pPr>
    <w:rPr>
      <w:rFonts w:ascii="宋体" w:hAnsi="宋体" w:cs="宋体"/>
      <w:b/>
      <w:bCs/>
      <w:color w:val="000000"/>
      <w:sz w:val="18"/>
      <w:szCs w:val="18"/>
    </w:rPr>
  </w:style>
  <w:style w:type="paragraph" w:styleId="1339">
    <w:name w:val="项目编号3"/>
    <w:basedOn w:val="1268"/>
    <w:next w:val="1339"/>
    <w:link w:val="1107"/>
    <w:qFormat/>
    <w:pPr>
      <w:numPr>
        <w:ilvl w:val="0"/>
        <w:numId w:val="7"/>
      </w:numPr>
    </w:pPr>
  </w:style>
  <w:style w:type="paragraph" w:styleId="1340">
    <w:name w:val="正文 A"/>
    <w:next w:val="1340"/>
    <w:link w:val="1107"/>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341">
    <w:name w:val="xl27"/>
    <w:basedOn w:val="1107"/>
    <w:next w:val="1341"/>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2">
    <w:name w:val="xl28"/>
    <w:basedOn w:val="1107"/>
    <w:next w:val="1342"/>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3">
    <w:name w:val="正文文本缩进2"/>
    <w:basedOn w:val="1107"/>
    <w:next w:val="1343"/>
    <w:link w:val="1107"/>
    <w:qFormat/>
    <w:pPr>
      <w:ind w:firstLine="480"/>
      <w:spacing w:line="480" w:lineRule="exact"/>
    </w:pPr>
    <w:rPr>
      <w:rFonts w:ascii="宋体" w:hAnsi="宋体"/>
      <w:sz w:val="24"/>
      <w:lang w:val="zh-CN" w:eastAsia="zh-CN"/>
    </w:rPr>
  </w:style>
  <w:style w:type="paragraph" w:styleId="1344">
    <w:name w:val="Char3 Char Char Char"/>
    <w:basedOn w:val="1107"/>
    <w:next w:val="1344"/>
    <w:link w:val="1107"/>
    <w:qFormat/>
    <w:rPr>
      <w:rFonts w:ascii="Tahoma" w:hAnsi="Tahoma"/>
      <w:sz w:val="24"/>
      <w:szCs w:val="20"/>
    </w:rPr>
  </w:style>
  <w:style w:type="paragraph" w:styleId="1345">
    <w:name w:val="Char21"/>
    <w:basedOn w:val="1107"/>
    <w:next w:val="1345"/>
    <w:link w:val="1107"/>
    <w:qFormat/>
    <w:rPr>
      <w:rFonts w:ascii="Tahoma" w:hAnsi="Tahoma"/>
      <w:sz w:val="24"/>
      <w:szCs w:val="20"/>
    </w:rPr>
  </w:style>
  <w:style w:type="paragraph" w:styleId="1346">
    <w:name w:val="List Paragraph1"/>
    <w:basedOn w:val="1107"/>
    <w:next w:val="1346"/>
    <w:link w:val="1107"/>
    <w:qFormat/>
    <w:pPr>
      <w:ind w:firstLine="420"/>
    </w:pPr>
    <w:rPr>
      <w:rFonts w:ascii="Calibri" w:hAnsi="Calibri"/>
      <w:szCs w:val="22"/>
    </w:rPr>
  </w:style>
  <w:style w:type="paragraph" w:styleId="1347">
    <w:name w:val="四级条标题"/>
    <w:basedOn w:val="1336"/>
    <w:next w:val="1107"/>
    <w:link w:val="1107"/>
    <w:qFormat/>
    <w:pPr>
      <w:numPr>
        <w:ilvl w:val="4"/>
      </w:numPr>
      <w:ind w:left="0" w:hanging="840"/>
      <w:tabs>
        <w:tab w:val="left" w:pos="360" w:leader="none"/>
        <w:tab w:val="left" w:pos="840" w:leader="none"/>
      </w:tabs>
      <w:outlineLvl w:val="4"/>
    </w:pPr>
  </w:style>
  <w:style w:type="paragraph" w:styleId="1348">
    <w:name w:val="无间隔"/>
    <w:next w:val="1348"/>
    <w:link w:val="1107"/>
    <w:qFormat/>
    <w:pPr>
      <w:jc w:val="both"/>
      <w:widowControl w:val="off"/>
    </w:pPr>
    <w:rPr>
      <w:sz w:val="21"/>
      <w:szCs w:val="24"/>
      <w:lang w:val="en-US" w:eastAsia="zh-CN" w:bidi="ar-SA"/>
    </w:rPr>
  </w:style>
  <w:style w:type="paragraph" w:styleId="1349">
    <w:name w:val="xl49"/>
    <w:basedOn w:val="1107"/>
    <w:next w:val="1349"/>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0">
    <w:name w:val="font5"/>
    <w:basedOn w:val="1107"/>
    <w:next w:val="1350"/>
    <w:link w:val="1107"/>
    <w:qFormat/>
    <w:pPr>
      <w:jc w:val="left"/>
      <w:spacing w:before="100" w:beforeAutospacing="1" w:after="100" w:afterAutospacing="1"/>
      <w:widowControl/>
    </w:pPr>
    <w:rPr>
      <w:rFonts w:ascii="宋体" w:hAnsi="宋体" w:cs="宋体"/>
      <w:sz w:val="18"/>
      <w:szCs w:val="18"/>
    </w:rPr>
  </w:style>
  <w:style w:type="paragraph" w:styleId="1351">
    <w:name w:val="Char Char Char1 Char1"/>
    <w:basedOn w:val="1107"/>
    <w:next w:val="1351"/>
    <w:link w:val="1107"/>
    <w:qFormat/>
    <w:rPr>
      <w:rFonts w:ascii="Tahoma" w:hAnsi="Tahoma"/>
      <w:sz w:val="24"/>
      <w:szCs w:val="20"/>
    </w:rPr>
  </w:style>
  <w:style w:type="paragraph" w:styleId="1352">
    <w:name w:val="项目符号1"/>
    <w:basedOn w:val="1268"/>
    <w:next w:val="1352"/>
    <w:link w:val="1107"/>
    <w:qFormat/>
    <w:pPr>
      <w:ind w:left="-25" w:firstLine="0"/>
    </w:pPr>
  </w:style>
  <w:style w:type="paragraph" w:styleId="1353">
    <w:name w:val="xl33"/>
    <w:basedOn w:val="1107"/>
    <w:next w:val="1353"/>
    <w:link w:val="11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4">
    <w:name w:val="22222222222222"/>
    <w:basedOn w:val="1107"/>
    <w:next w:val="1354"/>
    <w:link w:val="1107"/>
    <w:qFormat/>
    <w:pPr>
      <w:ind w:firstLine="480"/>
      <w:jc w:val="left"/>
      <w:spacing w:line="360" w:lineRule="auto"/>
      <w:widowControl/>
    </w:pPr>
    <w:rPr>
      <w:color w:val="ff0000"/>
      <w:sz w:val="24"/>
      <w:szCs w:val="20"/>
    </w:rPr>
  </w:style>
  <w:style w:type="paragraph" w:styleId="1355">
    <w:name w:val="xl34"/>
    <w:basedOn w:val="1107"/>
    <w:next w:val="1355"/>
    <w:link w:val="11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6">
    <w:name w:val="Char22"/>
    <w:basedOn w:val="1107"/>
    <w:next w:val="1356"/>
    <w:link w:val="1107"/>
    <w:qFormat/>
    <w:rPr>
      <w:rFonts w:ascii="Tahoma" w:hAnsi="Tahoma"/>
      <w:sz w:val="24"/>
      <w:szCs w:val="20"/>
    </w:rPr>
  </w:style>
  <w:style w:type="paragraph" w:styleId="1357">
    <w:name w:val="Char3 Char Char Char1"/>
    <w:basedOn w:val="1107"/>
    <w:next w:val="1357"/>
    <w:link w:val="1107"/>
    <w:qFormat/>
    <w:rPr>
      <w:rFonts w:ascii="Tahoma" w:hAnsi="Tahoma"/>
      <w:sz w:val="24"/>
      <w:szCs w:val="20"/>
    </w:rPr>
  </w:style>
  <w:style w:type="paragraph" w:styleId="1358">
    <w:name w:val="五级条标题"/>
    <w:basedOn w:val="1347"/>
    <w:next w:val="1107"/>
    <w:link w:val="1107"/>
    <w:qFormat/>
    <w:pPr>
      <w:numPr>
        <w:ilvl w:val="5"/>
      </w:numPr>
      <w:ind w:left="0" w:hanging="840"/>
      <w:tabs>
        <w:tab w:val="left" w:pos="360" w:leader="none"/>
        <w:tab w:val="left" w:pos="840" w:leader="none"/>
      </w:tabs>
      <w:outlineLvl w:val="5"/>
    </w:pPr>
  </w:style>
  <w:style w:type="paragraph" w:styleId="1359">
    <w:name w:val="表格文字"/>
    <w:basedOn w:val="1124"/>
    <w:next w:val="1359"/>
    <w:link w:val="1107"/>
    <w:qFormat/>
    <w:pPr>
      <w:ind w:firstLine="0"/>
      <w:spacing w:before="20" w:after="20" w:line="240" w:lineRule="auto"/>
    </w:pPr>
    <w:rPr>
      <w:rFonts w:ascii="Century Gothic" w:hAnsi="Century Gothic"/>
      <w:sz w:val="20"/>
      <w:szCs w:val="20"/>
    </w:rPr>
  </w:style>
  <w:style w:type="paragraph" w:styleId="1360">
    <w:name w:val="default"/>
    <w:basedOn w:val="1107"/>
    <w:next w:val="1360"/>
    <w:link w:val="1107"/>
    <w:qFormat/>
    <w:pPr>
      <w:jc w:val="left"/>
      <w:spacing w:before="100" w:beforeAutospacing="1" w:after="100" w:afterAutospacing="1"/>
      <w:widowControl/>
    </w:pPr>
    <w:rPr>
      <w:rFonts w:ascii="宋体" w:hAnsi="宋体" w:cs="宋体"/>
      <w:sz w:val="24"/>
    </w:rPr>
  </w:style>
  <w:style w:type="paragraph" w:styleId="1361">
    <w:name w:val="xl36"/>
    <w:basedOn w:val="1107"/>
    <w:next w:val="1361"/>
    <w:link w:val="110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2">
    <w:name w:val="一级无"/>
    <w:basedOn w:val="1107"/>
    <w:next w:val="1362"/>
    <w:link w:val="1107"/>
    <w:qFormat/>
    <w:pPr>
      <w:jc w:val="left"/>
      <w:widowControl/>
      <w:outlineLvl w:val="2"/>
    </w:pPr>
    <w:rPr>
      <w:rFonts w:ascii="宋体" w:hAnsi="Times New Roman" w:eastAsia="宋体" w:cs="Times New Roman"/>
      <w:szCs w:val="21"/>
    </w:rPr>
  </w:style>
  <w:style w:type="paragraph" w:styleId="1363">
    <w:name w:val="Char"/>
    <w:basedOn w:val="1107"/>
    <w:next w:val="1363"/>
    <w:link w:val="1107"/>
    <w:qFormat/>
    <w:pPr>
      <w:tabs>
        <w:tab w:val="left" w:pos="360" w:leader="none"/>
      </w:tabs>
    </w:pPr>
    <w:rPr>
      <w:sz w:val="24"/>
    </w:rPr>
  </w:style>
  <w:style w:type="paragraph" w:styleId="1364">
    <w:name w:val="xl41"/>
    <w:basedOn w:val="1107"/>
    <w:next w:val="1364"/>
    <w:link w:val="11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table" w:styleId="1365">
    <w:name w:val="Table Normal"/>
    <w:next w:val="1365"/>
    <w:link w:val="1107"/>
    <w:uiPriority w:val="2"/>
    <w:unhideWhenUsed/>
    <w:qFormat/>
    <w:pPr>
      <w:widowControl w:val="off"/>
    </w:pPr>
    <w:rPr>
      <w:rFonts w:ascii="Calibri" w:hAnsi="Calibri"/>
      <w:sz w:val="22"/>
      <w:szCs w:val="22"/>
      <w:lang w:val="en-US" w:eastAsia="en-US" w:bidi="ar-SA"/>
    </w:rPr>
    <w:tblPr/>
  </w:style>
  <w:style w:type="character" w:styleId="1366">
    <w:name w:val="NormalCharacter1"/>
    <w:next w:val="1366"/>
    <w:link w:val="1107"/>
    <w:qFormat/>
    <w:rPr>
      <w:rFonts w:ascii="Calibri" w:hAnsi="Calibri" w:eastAsia="宋体" w:cs="Times New Roman"/>
      <w:sz w:val="21"/>
      <w:szCs w:val="22"/>
      <w:lang w:val="en-US" w:eastAsia="zh-CN" w:bidi="ar-SA"/>
    </w:rPr>
  </w:style>
  <w:style w:type="character" w:styleId="1367">
    <w:name w:val="font11"/>
    <w:next w:val="1367"/>
    <w:link w:val="1107"/>
    <w:qFormat/>
    <w:rPr>
      <w:rFonts w:hint="eastAsia" w:ascii="仿宋_GB2312" w:eastAsia="仿宋_GB2312" w:cs="仿宋_GB2312"/>
      <w:color w:val="000000"/>
      <w:sz w:val="24"/>
      <w:szCs w:val="24"/>
      <w:u w:val="none"/>
    </w:rPr>
  </w:style>
  <w:style w:type="paragraph" w:styleId="1368">
    <w:name w:val="表"/>
    <w:basedOn w:val="1107"/>
    <w:next w:val="1368"/>
    <w:link w:val="1107"/>
    <w:qFormat/>
    <w:pPr>
      <w:ind w:firstLine="0"/>
      <w:jc w:val="center"/>
      <w:spacing w:line="240" w:lineRule="auto"/>
    </w:pPr>
    <w:rPr>
      <w:rFonts w:hint="eastAsia" w:ascii="Times New Roman" w:hAnsi="Times New Roman" w:eastAsia="宋体" w:cs="方正仿宋_GB2312"/>
      <w:sz w:val="24"/>
      <w:szCs w:val="22"/>
      <w:lang w:val="zh-CN" w:bidi="zh-CN"/>
    </w:rPr>
  </w:style>
  <w:style w:type="paragraph" w:styleId="1369">
    <w:name w:val="null3"/>
    <w:next w:val="1369"/>
    <w:link w:val="1107"/>
    <w:qFormat/>
    <w:rPr>
      <w:rFonts w:hint="eastAsia" w:ascii="Calibri" w:hAnsi="Calibri" w:eastAsia="宋体" w:cs="Times New Roman"/>
      <w:lang w:val="en-US" w:eastAsia="zh-CN" w:bidi="ar-SA"/>
    </w:rPr>
  </w:style>
  <w:style w:type="paragraph" w:styleId="1370">
    <w:name w:val="_HT_表格正文"/>
    <w:basedOn w:val="1107"/>
    <w:next w:val="1370"/>
    <w:link w:val="1107"/>
    <w:qFormat/>
    <w:rPr>
      <w:sz w:val="22"/>
      <w:szCs w:val="20"/>
    </w:rPr>
  </w:style>
  <w:style w:type="character" w:styleId="19437" w:default="1">
    <w:name w:val="Default Paragraph Font"/>
    <w:uiPriority w:val="1"/>
    <w:semiHidden/>
    <w:unhideWhenUsed/>
  </w:style>
  <w:style w:type="numbering" w:styleId="19438" w:default="1">
    <w:name w:val="No List"/>
    <w:uiPriority w:val="99"/>
    <w:semiHidden/>
    <w:unhideWhenUsed/>
  </w:style>
  <w:style w:type="table" w:styleId="19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王涛</cp:lastModifiedBy>
  <cp:revision>5</cp:revision>
  <dcterms:created xsi:type="dcterms:W3CDTF">2022-05-31T00:08:00Z</dcterms:created>
  <dcterms:modified xsi:type="dcterms:W3CDTF">2026-03-16T05:24:01Z</dcterms:modified>
</cp:coreProperties>
</file>